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E8ED" w14:textId="39404F92" w:rsidR="001775FF" w:rsidRDefault="00C71BE0">
      <w:pPr>
        <w:widowControl w:val="0"/>
        <w:pBdr>
          <w:top w:val="nil"/>
          <w:left w:val="nil"/>
          <w:bottom w:val="nil"/>
          <w:right w:val="nil"/>
          <w:between w:val="nil"/>
        </w:pBdr>
        <w:spacing w:line="276" w:lineRule="auto"/>
      </w:pPr>
      <w:r>
        <w:rPr>
          <w:noProof/>
        </w:rPr>
        <w:drawing>
          <wp:anchor distT="0" distB="0" distL="0" distR="0" simplePos="0" relativeHeight="251658240" behindDoc="1" locked="0" layoutInCell="1" hidden="0" allowOverlap="1" wp14:anchorId="1501F08B" wp14:editId="11945706">
            <wp:simplePos x="0" y="0"/>
            <wp:positionH relativeFrom="column">
              <wp:posOffset>-1095311</wp:posOffset>
            </wp:positionH>
            <wp:positionV relativeFrom="paragraph">
              <wp:posOffset>-1791756</wp:posOffset>
            </wp:positionV>
            <wp:extent cx="7794404" cy="11025451"/>
            <wp:effectExtent l="0" t="0" r="0" b="0"/>
            <wp:wrapNone/>
            <wp:docPr id="2060168197"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8"/>
                    <a:srcRect/>
                    <a:stretch>
                      <a:fillRect/>
                    </a:stretch>
                  </pic:blipFill>
                  <pic:spPr>
                    <a:xfrm>
                      <a:off x="0" y="0"/>
                      <a:ext cx="7794404" cy="11025451"/>
                    </a:xfrm>
                    <a:prstGeom prst="rect">
                      <a:avLst/>
                    </a:prstGeom>
                    <a:ln/>
                  </pic:spPr>
                </pic:pic>
              </a:graphicData>
            </a:graphic>
          </wp:anchor>
        </w:drawing>
      </w:r>
    </w:p>
    <w:p w14:paraId="0135BEE4" w14:textId="3A145652" w:rsidR="001775FF" w:rsidRDefault="00000000">
      <w:r>
        <w:rPr>
          <w:noProof/>
        </w:rPr>
        <mc:AlternateContent>
          <mc:Choice Requires="wps">
            <w:drawing>
              <wp:anchor distT="0" distB="0" distL="114300" distR="114300" simplePos="0" relativeHeight="251659264" behindDoc="0" locked="0" layoutInCell="1" hidden="0" allowOverlap="1" wp14:anchorId="708695F1" wp14:editId="7633293F">
                <wp:simplePos x="0" y="0"/>
                <wp:positionH relativeFrom="column">
                  <wp:posOffset>571266</wp:posOffset>
                </wp:positionH>
                <wp:positionV relativeFrom="paragraph">
                  <wp:posOffset>83820</wp:posOffset>
                </wp:positionV>
                <wp:extent cx="1239287" cy="487447"/>
                <wp:effectExtent l="0" t="0" r="0" b="0"/>
                <wp:wrapNone/>
                <wp:docPr id="2060168188" name="Cuadro de texto 2060168188"/>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1B53B68A" w14:textId="77777777" w:rsidR="00000000" w:rsidRDefault="00000000">
                            <w:r>
                              <w:rPr>
                                <w:noProof/>
                              </w:rPr>
                              <w:drawing>
                                <wp:inline distT="0" distB="0" distL="0" distR="0" wp14:anchorId="4A93944C" wp14:editId="1AAD0D4A">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571266</wp:posOffset>
                </wp:positionH>
                <wp:positionV relativeFrom="paragraph">
                  <wp:posOffset>83820</wp:posOffset>
                </wp:positionV>
                <wp:extent cx="1239287" cy="487447"/>
                <wp:effectExtent b="0" l="0" r="0" t="0"/>
                <wp:wrapNone/>
                <wp:docPr id="206016818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239287" cy="487447"/>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3C248E7" wp14:editId="6F7398DC">
                <wp:simplePos x="0" y="0"/>
                <wp:positionH relativeFrom="column">
                  <wp:posOffset>1803400</wp:posOffset>
                </wp:positionH>
                <wp:positionV relativeFrom="paragraph">
                  <wp:posOffset>101600</wp:posOffset>
                </wp:positionV>
                <wp:extent cx="3786087" cy="347345"/>
                <wp:effectExtent l="0" t="0" r="0" b="0"/>
                <wp:wrapNone/>
                <wp:docPr id="2060168191" name="Rectángulo 2060168191"/>
                <wp:cNvGraphicFramePr/>
                <a:graphic xmlns:a="http://schemas.openxmlformats.org/drawingml/2006/main">
                  <a:graphicData uri="http://schemas.microsoft.com/office/word/2010/wordprocessingShape">
                    <wps:wsp>
                      <wps:cNvSpPr/>
                      <wps:spPr>
                        <a:xfrm>
                          <a:off x="3457719" y="3611090"/>
                          <a:ext cx="3776562" cy="337820"/>
                        </a:xfrm>
                        <a:prstGeom prst="rect">
                          <a:avLst/>
                        </a:prstGeom>
                        <a:noFill/>
                        <a:ln w="9525" cap="flat" cmpd="sng">
                          <a:solidFill>
                            <a:srgbClr val="000000"/>
                          </a:solidFill>
                          <a:prstDash val="solid"/>
                          <a:round/>
                          <a:headEnd type="none" w="sm" len="sm"/>
                          <a:tailEnd type="none" w="sm" len="sm"/>
                        </a:ln>
                      </wps:spPr>
                      <wps:txbx>
                        <w:txbxContent>
                          <w:p w14:paraId="79857587" w14:textId="77777777" w:rsidR="001775FF" w:rsidRDefault="00000000">
                            <w:pPr>
                              <w:textDirection w:val="btLr"/>
                            </w:pPr>
                            <w:r>
                              <w:rPr>
                                <w:color w:val="000000"/>
                                <w:sz w:val="20"/>
                              </w:rPr>
                              <w:t>Contenido de acceso abierto bajo la Licencia:  </w:t>
                            </w:r>
                            <w:r>
                              <w:rPr>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1803400</wp:posOffset>
                </wp:positionH>
                <wp:positionV relativeFrom="paragraph">
                  <wp:posOffset>101600</wp:posOffset>
                </wp:positionV>
                <wp:extent cx="3786087" cy="347345"/>
                <wp:effectExtent b="0" l="0" r="0" t="0"/>
                <wp:wrapNone/>
                <wp:docPr id="2060168191"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3786087" cy="347345"/>
                        </a:xfrm>
                        <a:prstGeom prst="rect"/>
                        <a:ln/>
                      </pic:spPr>
                    </pic:pic>
                  </a:graphicData>
                </a:graphic>
              </wp:anchor>
            </w:drawing>
          </mc:Fallback>
        </mc:AlternateContent>
      </w:r>
    </w:p>
    <w:p w14:paraId="05E8EECC" w14:textId="77777777" w:rsidR="001775FF" w:rsidRDefault="001775FF"/>
    <w:p w14:paraId="541DC3E7" w14:textId="77777777" w:rsidR="001775FF" w:rsidRDefault="001775FF"/>
    <w:p w14:paraId="14F15850" w14:textId="77777777" w:rsidR="001775FF" w:rsidRDefault="001775FF"/>
    <w:p w14:paraId="09D5B9B3" w14:textId="77777777" w:rsidR="001775FF" w:rsidRDefault="001775FF"/>
    <w:p w14:paraId="6741CA30" w14:textId="77777777" w:rsidR="001775FF" w:rsidRDefault="001775FF"/>
    <w:p w14:paraId="61F67C2F" w14:textId="00B27921" w:rsidR="001775FF" w:rsidRDefault="00FF5C48">
      <w:r>
        <w:rPr>
          <w:noProof/>
        </w:rPr>
        <mc:AlternateContent>
          <mc:Choice Requires="wps">
            <w:drawing>
              <wp:anchor distT="0" distB="0" distL="114300" distR="114300" simplePos="0" relativeHeight="251661312" behindDoc="0" locked="0" layoutInCell="1" hidden="0" allowOverlap="1" wp14:anchorId="40BC330C" wp14:editId="16303CD7">
                <wp:simplePos x="0" y="0"/>
                <wp:positionH relativeFrom="column">
                  <wp:posOffset>2932534</wp:posOffset>
                </wp:positionH>
                <wp:positionV relativeFrom="paragraph">
                  <wp:posOffset>122531</wp:posOffset>
                </wp:positionV>
                <wp:extent cx="2820181" cy="1216233"/>
                <wp:effectExtent l="0" t="0" r="0" b="0"/>
                <wp:wrapNone/>
                <wp:docPr id="2060168194" name="Rectángulo 2060168194"/>
                <wp:cNvGraphicFramePr/>
                <a:graphic xmlns:a="http://schemas.openxmlformats.org/drawingml/2006/main">
                  <a:graphicData uri="http://schemas.microsoft.com/office/word/2010/wordprocessingShape">
                    <wps:wsp>
                      <wps:cNvSpPr/>
                      <wps:spPr>
                        <a:xfrm>
                          <a:off x="0" y="0"/>
                          <a:ext cx="2820181" cy="1216233"/>
                        </a:xfrm>
                        <a:prstGeom prst="rect">
                          <a:avLst/>
                        </a:prstGeom>
                        <a:noFill/>
                        <a:ln w="9525" cap="flat" cmpd="sng">
                          <a:solidFill>
                            <a:srgbClr val="000000"/>
                          </a:solidFill>
                          <a:prstDash val="solid"/>
                          <a:round/>
                          <a:headEnd type="none" w="sm" len="sm"/>
                          <a:tailEnd type="none" w="sm" len="sm"/>
                        </a:ln>
                      </wps:spPr>
                      <wps:txbx>
                        <w:txbxContent>
                          <w:p w14:paraId="1E90AB9B" w14:textId="77777777" w:rsidR="001775FF" w:rsidRDefault="00000000">
                            <w:pPr>
                              <w:textDirection w:val="btLr"/>
                            </w:pPr>
                            <w:proofErr w:type="spellStart"/>
                            <w:r>
                              <w:rPr>
                                <w:color w:val="000000"/>
                              </w:rPr>
                              <w:t>Discimus</w:t>
                            </w:r>
                            <w:proofErr w:type="spellEnd"/>
                            <w:r>
                              <w:rPr>
                                <w:color w:val="000000"/>
                              </w:rPr>
                              <w:t>. Revista Digital de Educación.</w:t>
                            </w:r>
                          </w:p>
                          <w:p w14:paraId="2F1415B4" w14:textId="77777777" w:rsidR="001775FF" w:rsidRDefault="00000000">
                            <w:pPr>
                              <w:textDirection w:val="btLr"/>
                            </w:pPr>
                            <w:r>
                              <w:rPr>
                                <w:color w:val="000000"/>
                              </w:rPr>
                              <w:t>ISSN 2954-5781</w:t>
                            </w:r>
                          </w:p>
                          <w:p w14:paraId="30915D4E" w14:textId="77777777" w:rsidR="001775FF" w:rsidRDefault="00000000">
                            <w:pPr>
                              <w:textDirection w:val="btLr"/>
                            </w:pPr>
                            <w:r>
                              <w:rPr>
                                <w:color w:val="467886"/>
                                <w:u w:val="single"/>
                              </w:rPr>
                              <w:t>Contacto@revistadiscimus.com</w:t>
                            </w:r>
                          </w:p>
                          <w:p w14:paraId="53B534AE" w14:textId="77777777" w:rsidR="001775FF" w:rsidRDefault="00000000">
                            <w:pPr>
                              <w:textDirection w:val="btLr"/>
                            </w:pPr>
                            <w:r>
                              <w:rPr>
                                <w:color w:val="000000"/>
                              </w:rPr>
                              <w:t xml:space="preserve">Corporación </w:t>
                            </w:r>
                            <w:proofErr w:type="spellStart"/>
                            <w:r>
                              <w:rPr>
                                <w:color w:val="000000"/>
                              </w:rPr>
                              <w:t>Discimus</w:t>
                            </w:r>
                            <w:proofErr w:type="spellEnd"/>
                            <w:r>
                              <w:rPr>
                                <w:color w:val="000000"/>
                              </w:rPr>
                              <w:t>.</w:t>
                            </w:r>
                          </w:p>
                          <w:p w14:paraId="69B2CBA7" w14:textId="77777777" w:rsidR="001775FF" w:rsidRDefault="00000000">
                            <w:pPr>
                              <w:textDirection w:val="btLr"/>
                            </w:pPr>
                            <w:r>
                              <w:rPr>
                                <w:color w:val="000000"/>
                              </w:rPr>
                              <w:t xml:space="preserve">Bogotá- Colombia </w:t>
                            </w:r>
                          </w:p>
                          <w:p w14:paraId="0B3BBAB6" w14:textId="77777777" w:rsidR="001775FF" w:rsidRDefault="001775FF">
                            <w:pPr>
                              <w:textDirection w:val="btLr"/>
                            </w:pPr>
                          </w:p>
                        </w:txbxContent>
                      </wps:txbx>
                      <wps:bodyPr spcFirstLastPara="1" wrap="square" lIns="91425" tIns="45700" rIns="91425" bIns="45700" anchor="t" anchorCtr="0">
                        <a:noAutofit/>
                      </wps:bodyPr>
                    </wps:wsp>
                  </a:graphicData>
                </a:graphic>
              </wp:anchor>
            </w:drawing>
          </mc:Choice>
          <mc:Fallback>
            <w:pict>
              <v:rect w14:anchorId="40BC330C" id="Rectángulo 2060168194" o:spid="_x0000_s1028" style="position:absolute;margin-left:230.9pt;margin-top:9.65pt;width:222.05pt;height:9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" filled="f">
                <v:stroke startarrowwidth="narrow" startarrowlength="short" endarrowwidth="narrow" endarrowlength="short" joinstyle="round"/>
                <v:textbox inset="2.53958mm,1.2694mm,2.53958mm,1.2694mm">
                  <w:txbxContent>
                    <w:p w14:paraId="1E90AB9B" w14:textId="77777777" w:rsidR="001775FF" w:rsidRDefault="00000000">
                      <w:pPr>
                        <w:textDirection w:val="btLr"/>
                      </w:pPr>
                      <w:proofErr w:type="spellStart"/>
                      <w:r>
                        <w:rPr>
                          <w:color w:val="000000"/>
                        </w:rPr>
                        <w:t>Discimus</w:t>
                      </w:r>
                      <w:proofErr w:type="spellEnd"/>
                      <w:r>
                        <w:rPr>
                          <w:color w:val="000000"/>
                        </w:rPr>
                        <w:t>. Revista Digital de Educación.</w:t>
                      </w:r>
                    </w:p>
                    <w:p w14:paraId="2F1415B4" w14:textId="77777777" w:rsidR="001775FF" w:rsidRDefault="00000000">
                      <w:pPr>
                        <w:textDirection w:val="btLr"/>
                      </w:pPr>
                      <w:r>
                        <w:rPr>
                          <w:color w:val="000000"/>
                        </w:rPr>
                        <w:t>ISSN 2954-5781</w:t>
                      </w:r>
                    </w:p>
                    <w:p w14:paraId="30915D4E" w14:textId="77777777" w:rsidR="001775FF" w:rsidRDefault="00000000">
                      <w:pPr>
                        <w:textDirection w:val="btLr"/>
                      </w:pPr>
                      <w:r>
                        <w:rPr>
                          <w:color w:val="467886"/>
                          <w:u w:val="single"/>
                        </w:rPr>
                        <w:t>Contacto@revistadiscimus.com</w:t>
                      </w:r>
                    </w:p>
                    <w:p w14:paraId="53B534AE" w14:textId="77777777" w:rsidR="001775FF" w:rsidRDefault="00000000">
                      <w:pPr>
                        <w:textDirection w:val="btLr"/>
                      </w:pPr>
                      <w:r>
                        <w:rPr>
                          <w:color w:val="000000"/>
                        </w:rPr>
                        <w:t xml:space="preserve">Corporación </w:t>
                      </w:r>
                      <w:proofErr w:type="spellStart"/>
                      <w:r>
                        <w:rPr>
                          <w:color w:val="000000"/>
                        </w:rPr>
                        <w:t>Discimus</w:t>
                      </w:r>
                      <w:proofErr w:type="spellEnd"/>
                      <w:r>
                        <w:rPr>
                          <w:color w:val="000000"/>
                        </w:rPr>
                        <w:t>.</w:t>
                      </w:r>
                    </w:p>
                    <w:p w14:paraId="69B2CBA7" w14:textId="77777777" w:rsidR="001775FF" w:rsidRDefault="00000000">
                      <w:pPr>
                        <w:textDirection w:val="btLr"/>
                      </w:pPr>
                      <w:r>
                        <w:rPr>
                          <w:color w:val="000000"/>
                        </w:rPr>
                        <w:t xml:space="preserve">Bogotá- Colombia </w:t>
                      </w:r>
                    </w:p>
                    <w:p w14:paraId="0B3BBAB6" w14:textId="77777777" w:rsidR="001775FF" w:rsidRDefault="001775FF">
                      <w:pPr>
                        <w:textDirection w:val="btLr"/>
                      </w:pPr>
                    </w:p>
                  </w:txbxContent>
                </v:textbox>
              </v:rect>
            </w:pict>
          </mc:Fallback>
        </mc:AlternateContent>
      </w:r>
    </w:p>
    <w:p w14:paraId="480714BB" w14:textId="4C2DD3BE" w:rsidR="001775FF" w:rsidRDefault="00FF5C48">
      <w:r>
        <w:rPr>
          <w:noProof/>
        </w:rPr>
        <w:drawing>
          <wp:anchor distT="0" distB="0" distL="114300" distR="114300" simplePos="0" relativeHeight="251662336" behindDoc="0" locked="0" layoutInCell="1" hidden="0" allowOverlap="1" wp14:anchorId="6DB817BB" wp14:editId="18A1965A">
            <wp:simplePos x="0" y="0"/>
            <wp:positionH relativeFrom="column">
              <wp:posOffset>1216909</wp:posOffset>
            </wp:positionH>
            <wp:positionV relativeFrom="paragraph">
              <wp:posOffset>65557</wp:posOffset>
            </wp:positionV>
            <wp:extent cx="1600200" cy="885825"/>
            <wp:effectExtent l="0" t="0" r="0" b="0"/>
            <wp:wrapSquare wrapText="bothSides" distT="0" distB="0" distL="114300" distR="114300"/>
            <wp:docPr id="2060168199" name="image2.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Logotipo&#10;&#10;Descripción generada automáticamente"/>
                    <pic:cNvPicPr preferRelativeResize="0"/>
                  </pic:nvPicPr>
                  <pic:blipFill>
                    <a:blip r:embed="rId12"/>
                    <a:srcRect t="25202" b="27390"/>
                    <a:stretch>
                      <a:fillRect/>
                    </a:stretch>
                  </pic:blipFill>
                  <pic:spPr>
                    <a:xfrm>
                      <a:off x="0" y="0"/>
                      <a:ext cx="1600200" cy="885825"/>
                    </a:xfrm>
                    <a:prstGeom prst="rect">
                      <a:avLst/>
                    </a:prstGeom>
                    <a:ln/>
                  </pic:spPr>
                </pic:pic>
              </a:graphicData>
            </a:graphic>
          </wp:anchor>
        </w:drawing>
      </w:r>
    </w:p>
    <w:p w14:paraId="52B314DC" w14:textId="3776D34A" w:rsidR="001775FF" w:rsidRDefault="001775FF"/>
    <w:p w14:paraId="3B342E57" w14:textId="19E37945" w:rsidR="001775FF" w:rsidRDefault="001775FF"/>
    <w:p w14:paraId="5BE28117" w14:textId="1355586C" w:rsidR="001775FF" w:rsidRDefault="001775FF"/>
    <w:p w14:paraId="1B7F461F" w14:textId="77777777" w:rsidR="001775FF" w:rsidRDefault="001775FF"/>
    <w:p w14:paraId="7CB1C2EA" w14:textId="77777777" w:rsidR="001775FF" w:rsidRDefault="001775FF"/>
    <w:p w14:paraId="4A8F78ED" w14:textId="77777777" w:rsidR="001775FF" w:rsidRDefault="001775FF"/>
    <w:p w14:paraId="7D1F07EB" w14:textId="77777777" w:rsidR="001775FF" w:rsidRDefault="001775FF"/>
    <w:p w14:paraId="2A7FAAD3" w14:textId="253D99AC" w:rsidR="001775FF" w:rsidRDefault="00FF5C48">
      <w:r>
        <w:rPr>
          <w:noProof/>
        </w:rPr>
        <mc:AlternateContent>
          <mc:Choice Requires="wps">
            <w:drawing>
              <wp:anchor distT="0" distB="0" distL="114300" distR="114300" simplePos="0" relativeHeight="251663360" behindDoc="0" locked="0" layoutInCell="1" hidden="0" allowOverlap="1" wp14:anchorId="47D5484A" wp14:editId="124729D2">
                <wp:simplePos x="0" y="0"/>
                <wp:positionH relativeFrom="column">
                  <wp:posOffset>454547</wp:posOffset>
                </wp:positionH>
                <wp:positionV relativeFrom="paragraph">
                  <wp:posOffset>95764</wp:posOffset>
                </wp:positionV>
                <wp:extent cx="5385567" cy="1455816"/>
                <wp:effectExtent l="0" t="0" r="12065" b="17780"/>
                <wp:wrapNone/>
                <wp:docPr id="2060168192" name="Rectángulo 2060168192"/>
                <wp:cNvGraphicFramePr/>
                <a:graphic xmlns:a="http://schemas.openxmlformats.org/drawingml/2006/main">
                  <a:graphicData uri="http://schemas.microsoft.com/office/word/2010/wordprocessingShape">
                    <wps:wsp>
                      <wps:cNvSpPr/>
                      <wps:spPr>
                        <a:xfrm>
                          <a:off x="0" y="0"/>
                          <a:ext cx="5385567" cy="1455816"/>
                        </a:xfrm>
                        <a:prstGeom prst="rect">
                          <a:avLst/>
                        </a:prstGeom>
                        <a:noFill/>
                        <a:ln w="9525" cap="flat" cmpd="sng">
                          <a:solidFill>
                            <a:srgbClr val="000000"/>
                          </a:solidFill>
                          <a:prstDash val="solid"/>
                          <a:round/>
                          <a:headEnd type="none" w="sm" len="sm"/>
                          <a:tailEnd type="none" w="sm" len="sm"/>
                        </a:ln>
                      </wps:spPr>
                      <wps:txbx>
                        <w:txbxContent>
                          <w:p w14:paraId="163DEA42" w14:textId="77777777" w:rsidR="001775FF" w:rsidRPr="00FF5C48" w:rsidRDefault="00000000">
                            <w:pPr>
                              <w:textDirection w:val="btLr"/>
                              <w:rPr>
                                <w:bCs/>
                              </w:rPr>
                            </w:pPr>
                            <w:r w:rsidRPr="00FF5C48">
                              <w:rPr>
                                <w:rFonts w:ascii="Roboto" w:eastAsia="Roboto" w:hAnsi="Roboto" w:cs="Roboto"/>
                                <w:bCs/>
                                <w:color w:val="000000"/>
                                <w:sz w:val="21"/>
                              </w:rPr>
                              <w:t>Felipe Daniel Quiroga Acero</w:t>
                            </w:r>
                          </w:p>
                          <w:p w14:paraId="6050A2BE" w14:textId="77777777" w:rsidR="001775FF" w:rsidRDefault="001775FF">
                            <w:pPr>
                              <w:textDirection w:val="btLr"/>
                            </w:pPr>
                          </w:p>
                          <w:p w14:paraId="108038C7" w14:textId="77777777" w:rsidR="001775FF" w:rsidRDefault="00000000">
                            <w:pPr>
                              <w:spacing w:after="160" w:line="275" w:lineRule="auto"/>
                              <w:jc w:val="center"/>
                              <w:textDirection w:val="btLr"/>
                            </w:pPr>
                            <w:r>
                              <w:rPr>
                                <w:rFonts w:ascii="Times New Roman" w:eastAsia="Times New Roman" w:hAnsi="Times New Roman" w:cs="Times New Roman"/>
                                <w:b/>
                                <w:color w:val="000000"/>
                              </w:rPr>
                              <w:t>Estrategias Educativas de Emergencia: Lecciones de Colombia y Argentina para Escenarios Futuros.</w:t>
                            </w:r>
                          </w:p>
                          <w:p w14:paraId="220EF765" w14:textId="77777777" w:rsidR="001775FF" w:rsidRDefault="001775FF">
                            <w:pPr>
                              <w:textDirection w:val="btLr"/>
                            </w:pPr>
                          </w:p>
                          <w:p w14:paraId="3335B403" w14:textId="77777777" w:rsidR="001775FF" w:rsidRDefault="00000000">
                            <w:pPr>
                              <w:textDirection w:val="btLr"/>
                            </w:pPr>
                            <w:r w:rsidRPr="00FF5C48">
                              <w:rPr>
                                <w:b/>
                                <w:bCs/>
                                <w:color w:val="000000"/>
                              </w:rPr>
                              <w:t>DOI:</w:t>
                            </w:r>
                            <w:r>
                              <w:rPr>
                                <w:color w:val="000000"/>
                              </w:rPr>
                              <w:t xml:space="preserve"> </w:t>
                            </w:r>
                            <w:r>
                              <w:rPr>
                                <w:color w:val="467886"/>
                                <w:u w:val="single"/>
                              </w:rPr>
                              <w:t>https://doi.org/10.61447/20250130/art03</w:t>
                            </w:r>
                          </w:p>
                          <w:p w14:paraId="2E479428" w14:textId="77777777" w:rsidR="001775FF" w:rsidRDefault="001775FF">
                            <w:pPr>
                              <w:textDirection w:val="btLr"/>
                            </w:pPr>
                          </w:p>
                        </w:txbxContent>
                      </wps:txbx>
                      <wps:bodyPr spcFirstLastPara="1" wrap="square" lIns="91425" tIns="45700" rIns="91425" bIns="45700" anchor="t" anchorCtr="0">
                        <a:noAutofit/>
                      </wps:bodyPr>
                    </wps:wsp>
                  </a:graphicData>
                </a:graphic>
              </wp:anchor>
            </w:drawing>
          </mc:Choice>
          <mc:Fallback>
            <w:pict>
              <v:rect w14:anchorId="47D5484A" id="Rectángulo 2060168192" o:spid="_x0000_s1029" style="position:absolute;margin-left:35.8pt;margin-top:7.55pt;width:424.05pt;height:114.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" filled="f">
                <v:stroke startarrowwidth="narrow" startarrowlength="short" endarrowwidth="narrow" endarrowlength="short" joinstyle="round"/>
                <v:textbox inset="2.53958mm,1.2694mm,2.53958mm,1.2694mm">
                  <w:txbxContent>
                    <w:p w14:paraId="163DEA42" w14:textId="77777777" w:rsidR="001775FF" w:rsidRPr="00FF5C48" w:rsidRDefault="00000000">
                      <w:pPr>
                        <w:textDirection w:val="btLr"/>
                        <w:rPr>
                          <w:bCs/>
                        </w:rPr>
                      </w:pPr>
                      <w:r w:rsidRPr="00FF5C48">
                        <w:rPr>
                          <w:rFonts w:ascii="Roboto" w:eastAsia="Roboto" w:hAnsi="Roboto" w:cs="Roboto"/>
                          <w:bCs/>
                          <w:color w:val="000000"/>
                          <w:sz w:val="21"/>
                        </w:rPr>
                        <w:t>Felipe Daniel Quiroga Acero</w:t>
                      </w:r>
                    </w:p>
                    <w:p w14:paraId="6050A2BE" w14:textId="77777777" w:rsidR="001775FF" w:rsidRDefault="001775FF">
                      <w:pPr>
                        <w:textDirection w:val="btLr"/>
                      </w:pPr>
                    </w:p>
                    <w:p w14:paraId="108038C7" w14:textId="77777777" w:rsidR="001775FF" w:rsidRDefault="00000000">
                      <w:pPr>
                        <w:spacing w:after="160" w:line="275" w:lineRule="auto"/>
                        <w:jc w:val="center"/>
                        <w:textDirection w:val="btLr"/>
                      </w:pPr>
                      <w:r>
                        <w:rPr>
                          <w:rFonts w:ascii="Times New Roman" w:eastAsia="Times New Roman" w:hAnsi="Times New Roman" w:cs="Times New Roman"/>
                          <w:b/>
                          <w:color w:val="000000"/>
                        </w:rPr>
                        <w:t>Estrategias Educativas de Emergencia: Lecciones de Colombia y Argentina para Escenarios Futuros.</w:t>
                      </w:r>
                    </w:p>
                    <w:p w14:paraId="220EF765" w14:textId="77777777" w:rsidR="001775FF" w:rsidRDefault="001775FF">
                      <w:pPr>
                        <w:textDirection w:val="btLr"/>
                      </w:pPr>
                    </w:p>
                    <w:p w14:paraId="3335B403" w14:textId="77777777" w:rsidR="001775FF" w:rsidRDefault="00000000">
                      <w:pPr>
                        <w:textDirection w:val="btLr"/>
                      </w:pPr>
                      <w:r w:rsidRPr="00FF5C48">
                        <w:rPr>
                          <w:b/>
                          <w:bCs/>
                          <w:color w:val="000000"/>
                        </w:rPr>
                        <w:t>DOI:</w:t>
                      </w:r>
                      <w:r>
                        <w:rPr>
                          <w:color w:val="000000"/>
                        </w:rPr>
                        <w:t xml:space="preserve"> </w:t>
                      </w:r>
                      <w:r>
                        <w:rPr>
                          <w:color w:val="467886"/>
                          <w:u w:val="single"/>
                        </w:rPr>
                        <w:t>https://doi.org/10.61447/20250130/art03</w:t>
                      </w:r>
                    </w:p>
                    <w:p w14:paraId="2E479428" w14:textId="77777777" w:rsidR="001775FF" w:rsidRDefault="001775FF">
                      <w:pPr>
                        <w:textDirection w:val="btLr"/>
                      </w:pPr>
                    </w:p>
                  </w:txbxContent>
                </v:textbox>
              </v:rect>
            </w:pict>
          </mc:Fallback>
        </mc:AlternateContent>
      </w:r>
    </w:p>
    <w:p w14:paraId="7EC91C11" w14:textId="4047D9E6" w:rsidR="001775FF" w:rsidRDefault="001775FF"/>
    <w:p w14:paraId="0446B9F5" w14:textId="011206C9" w:rsidR="001775FF" w:rsidRDefault="001775FF"/>
    <w:p w14:paraId="28589032" w14:textId="2C3EF603" w:rsidR="001775FF" w:rsidRDefault="001775FF"/>
    <w:p w14:paraId="68A09DBC" w14:textId="56C06056" w:rsidR="001775FF" w:rsidRDefault="001775FF"/>
    <w:p w14:paraId="74D031C0" w14:textId="1274F893" w:rsidR="001775FF" w:rsidRDefault="001775FF"/>
    <w:p w14:paraId="721187A3" w14:textId="22A168C9" w:rsidR="001775FF" w:rsidRDefault="001775FF">
      <w:pPr>
        <w:rPr>
          <w:color w:val="FFFFFF"/>
        </w:rPr>
      </w:pPr>
    </w:p>
    <w:p w14:paraId="258D5FD8" w14:textId="77777777" w:rsidR="001775FF" w:rsidRDefault="001775FF"/>
    <w:p w14:paraId="3BA29D0A" w14:textId="77777777" w:rsidR="001775FF" w:rsidRDefault="001775FF"/>
    <w:p w14:paraId="686F4B9E" w14:textId="08CB5F4D" w:rsidR="001775FF" w:rsidRDefault="001775FF"/>
    <w:p w14:paraId="10B4D514" w14:textId="2FCD1742" w:rsidR="001775FF" w:rsidRDefault="001775FF"/>
    <w:p w14:paraId="045F0A3B" w14:textId="73BB8018" w:rsidR="001775FF" w:rsidRDefault="001775FF"/>
    <w:p w14:paraId="4D18221F" w14:textId="6A020016" w:rsidR="001775FF" w:rsidRDefault="00156539">
      <w:r>
        <w:rPr>
          <w:noProof/>
        </w:rPr>
        <mc:AlternateContent>
          <mc:Choice Requires="wps">
            <w:drawing>
              <wp:anchor distT="0" distB="0" distL="114300" distR="114300" simplePos="0" relativeHeight="251664384" behindDoc="0" locked="0" layoutInCell="1" hidden="0" allowOverlap="1" wp14:anchorId="145D6B4A" wp14:editId="531F91AB">
                <wp:simplePos x="0" y="0"/>
                <wp:positionH relativeFrom="column">
                  <wp:posOffset>-737870</wp:posOffset>
                </wp:positionH>
                <wp:positionV relativeFrom="paragraph">
                  <wp:posOffset>209847</wp:posOffset>
                </wp:positionV>
                <wp:extent cx="3086100" cy="942340"/>
                <wp:effectExtent l="0" t="0" r="0" b="0"/>
                <wp:wrapNone/>
                <wp:docPr id="2060168190" name="Rectángulo 2060168190"/>
                <wp:cNvGraphicFramePr/>
                <a:graphic xmlns:a="http://schemas.openxmlformats.org/drawingml/2006/main">
                  <a:graphicData uri="http://schemas.microsoft.com/office/word/2010/wordprocessingShape">
                    <wps:wsp>
                      <wps:cNvSpPr/>
                      <wps:spPr>
                        <a:xfrm>
                          <a:off x="0" y="0"/>
                          <a:ext cx="3086100" cy="942340"/>
                        </a:xfrm>
                        <a:prstGeom prst="rect">
                          <a:avLst/>
                        </a:prstGeom>
                        <a:noFill/>
                        <a:ln w="12700" cap="flat" cmpd="sng">
                          <a:solidFill>
                            <a:srgbClr val="000000">
                              <a:alpha val="82745"/>
                            </a:srgbClr>
                          </a:solidFill>
                          <a:prstDash val="solid"/>
                          <a:round/>
                          <a:headEnd type="none" w="sm" len="sm"/>
                          <a:tailEnd type="none" w="sm" len="sm"/>
                        </a:ln>
                      </wps:spPr>
                      <wps:txbx>
                        <w:txbxContent>
                          <w:p w14:paraId="57B157BA" w14:textId="77777777" w:rsidR="001775FF" w:rsidRDefault="00000000">
                            <w:pPr>
                              <w:textDirection w:val="btLr"/>
                            </w:pPr>
                            <w:r>
                              <w:rPr>
                                <w:b/>
                                <w:color w:val="000000"/>
                              </w:rPr>
                              <w:t>Fecha de Recepción:</w:t>
                            </w:r>
                            <w:r>
                              <w:rPr>
                                <w:color w:val="000000"/>
                              </w:rPr>
                              <w:t xml:space="preserve"> 31 de octubre de 2024</w:t>
                            </w:r>
                          </w:p>
                          <w:p w14:paraId="497F5263" w14:textId="77777777" w:rsidR="001775FF" w:rsidRDefault="001775FF">
                            <w:pPr>
                              <w:textDirection w:val="btLr"/>
                            </w:pPr>
                          </w:p>
                          <w:p w14:paraId="3488754F" w14:textId="77777777" w:rsidR="001775FF" w:rsidRDefault="00000000">
                            <w:pPr>
                              <w:textDirection w:val="btLr"/>
                            </w:pPr>
                            <w:r>
                              <w:rPr>
                                <w:b/>
                                <w:color w:val="000000"/>
                              </w:rPr>
                              <w:t>Fecha de Aceptación:</w:t>
                            </w:r>
                            <w:r>
                              <w:rPr>
                                <w:color w:val="000000"/>
                              </w:rPr>
                              <w:t xml:space="preserve"> 18 de enero de 2025</w:t>
                            </w:r>
                          </w:p>
                        </w:txbxContent>
                      </wps:txbx>
                      <wps:bodyPr spcFirstLastPara="1" wrap="square" lIns="91425" tIns="45700" rIns="91425" bIns="45700" anchor="t" anchorCtr="0">
                        <a:noAutofit/>
                      </wps:bodyPr>
                    </wps:wsp>
                  </a:graphicData>
                </a:graphic>
              </wp:anchor>
            </w:drawing>
          </mc:Choice>
          <mc:Fallback>
            <w:pict>
              <v:rect w14:anchorId="145D6B4A" id="Rectángulo 2060168190" o:spid="_x0000_s1030" style="position:absolute;margin-left:-58.1pt;margin-top:16.5pt;width:243pt;height:7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" filled="f" strokeweight="1pt">
                <v:stroke startarrowwidth="narrow" startarrowlength="short" endarrowwidth="narrow" endarrowlength="short" opacity="54227f" joinstyle="round"/>
                <v:textbox inset="2.53958mm,1.2694mm,2.53958mm,1.2694mm">
                  <w:txbxContent>
                    <w:p w14:paraId="57B157BA" w14:textId="77777777" w:rsidR="001775FF" w:rsidRDefault="00000000">
                      <w:pPr>
                        <w:textDirection w:val="btLr"/>
                      </w:pPr>
                      <w:r>
                        <w:rPr>
                          <w:b/>
                          <w:color w:val="000000"/>
                        </w:rPr>
                        <w:t>Fecha de Recepción:</w:t>
                      </w:r>
                      <w:r>
                        <w:rPr>
                          <w:color w:val="000000"/>
                        </w:rPr>
                        <w:t xml:space="preserve"> 31 de octubre de 2024</w:t>
                      </w:r>
                    </w:p>
                    <w:p w14:paraId="497F5263" w14:textId="77777777" w:rsidR="001775FF" w:rsidRDefault="001775FF">
                      <w:pPr>
                        <w:textDirection w:val="btLr"/>
                      </w:pPr>
                    </w:p>
                    <w:p w14:paraId="3488754F" w14:textId="77777777" w:rsidR="001775FF" w:rsidRDefault="00000000">
                      <w:pPr>
                        <w:textDirection w:val="btLr"/>
                      </w:pPr>
                      <w:r>
                        <w:rPr>
                          <w:b/>
                          <w:color w:val="000000"/>
                        </w:rPr>
                        <w:t>Fecha de Aceptación:</w:t>
                      </w:r>
                      <w:r>
                        <w:rPr>
                          <w:color w:val="000000"/>
                        </w:rPr>
                        <w:t xml:space="preserve"> 18 de enero de 2025</w:t>
                      </w:r>
                    </w:p>
                  </w:txbxContent>
                </v:textbox>
              </v:rect>
            </w:pict>
          </mc:Fallback>
        </mc:AlternateContent>
      </w:r>
    </w:p>
    <w:p w14:paraId="31E1CAF1" w14:textId="71CE5F8F" w:rsidR="001775FF" w:rsidRDefault="001775FF"/>
    <w:p w14:paraId="3E33448F" w14:textId="5C5347C2" w:rsidR="001775FF" w:rsidRDefault="001775FF"/>
    <w:p w14:paraId="4FDA06F4" w14:textId="0C024CA4" w:rsidR="001775FF" w:rsidRDefault="001775FF"/>
    <w:p w14:paraId="7A4992C8" w14:textId="799C13A3" w:rsidR="001775FF" w:rsidRDefault="001775FF"/>
    <w:p w14:paraId="7391022E" w14:textId="035DA096" w:rsidR="001775FF" w:rsidRDefault="001775FF"/>
    <w:p w14:paraId="1D0DA4C3" w14:textId="296253C9" w:rsidR="001775FF" w:rsidRDefault="001775FF"/>
    <w:p w14:paraId="2F767EAB" w14:textId="7DDE17B5" w:rsidR="001775FF" w:rsidRDefault="001775FF"/>
    <w:p w14:paraId="6FE637F1" w14:textId="39E65BA9" w:rsidR="001775FF" w:rsidRDefault="00156539">
      <w:pPr>
        <w:tabs>
          <w:tab w:val="left" w:pos="2679"/>
        </w:tabs>
      </w:pPr>
      <w:r>
        <w:rPr>
          <w:noProof/>
        </w:rPr>
        <mc:AlternateContent>
          <mc:Choice Requires="wps">
            <w:drawing>
              <wp:anchor distT="0" distB="0" distL="114300" distR="114300" simplePos="0" relativeHeight="251665408" behindDoc="0" locked="0" layoutInCell="1" hidden="0" allowOverlap="1" wp14:anchorId="44E7E209" wp14:editId="5A091C2C">
                <wp:simplePos x="0" y="0"/>
                <wp:positionH relativeFrom="column">
                  <wp:posOffset>2214245</wp:posOffset>
                </wp:positionH>
                <wp:positionV relativeFrom="paragraph">
                  <wp:posOffset>74801</wp:posOffset>
                </wp:positionV>
                <wp:extent cx="4303660" cy="1097545"/>
                <wp:effectExtent l="0" t="0" r="0" b="0"/>
                <wp:wrapNone/>
                <wp:docPr id="2060168193" name="Rectángulo 2060168193"/>
                <wp:cNvGraphicFramePr/>
                <a:graphic xmlns:a="http://schemas.openxmlformats.org/drawingml/2006/main">
                  <a:graphicData uri="http://schemas.microsoft.com/office/word/2010/wordprocessingShape">
                    <wps:wsp>
                      <wps:cNvSpPr/>
                      <wps:spPr>
                        <a:xfrm>
                          <a:off x="0" y="0"/>
                          <a:ext cx="4303660" cy="1097545"/>
                        </a:xfrm>
                        <a:prstGeom prst="rect">
                          <a:avLst/>
                        </a:prstGeom>
                        <a:noFill/>
                        <a:ln w="9525" cap="flat" cmpd="sng">
                          <a:solidFill>
                            <a:srgbClr val="000000"/>
                          </a:solidFill>
                          <a:prstDash val="solid"/>
                          <a:round/>
                          <a:headEnd type="none" w="sm" len="sm"/>
                          <a:tailEnd type="none" w="sm" len="sm"/>
                        </a:ln>
                      </wps:spPr>
                      <wps:txbx>
                        <w:txbxContent>
                          <w:p w14:paraId="65527858" w14:textId="77777777" w:rsidR="00FF5C48" w:rsidRDefault="00FF5C48">
                            <w:pPr>
                              <w:textDirection w:val="btLr"/>
                              <w:rPr>
                                <w:b/>
                                <w:color w:val="000000"/>
                              </w:rPr>
                            </w:pPr>
                          </w:p>
                          <w:p w14:paraId="651A742D" w14:textId="58B2FAF5" w:rsidR="001775FF" w:rsidRDefault="00000000">
                            <w:pPr>
                              <w:textDirection w:val="btLr"/>
                              <w:rPr>
                                <w:rFonts w:ascii="Noto Sans" w:eastAsia="Noto Sans" w:hAnsi="Noto Sans" w:cs="Noto Sans"/>
                                <w:color w:val="000000"/>
                                <w:sz w:val="20"/>
                              </w:rPr>
                            </w:pPr>
                            <w:r>
                              <w:rPr>
                                <w:b/>
                                <w:color w:val="000000"/>
                              </w:rPr>
                              <w:t>Como Citar:</w:t>
                            </w:r>
                            <w:r w:rsidR="00FF5C48" w:rsidRPr="00FF5C48">
                              <w:t xml:space="preserve"> </w:t>
                            </w:r>
                            <w:r w:rsidR="00FF5C48">
                              <w:t xml:space="preserve"> </w:t>
                            </w:r>
                            <w:r w:rsidR="00FF5C48" w:rsidRPr="00FF5C48">
                              <w:rPr>
                                <w:rFonts w:ascii="Noto Sans" w:eastAsia="Noto Sans" w:hAnsi="Noto Sans" w:cs="Noto Sans"/>
                                <w:color w:val="000000"/>
                                <w:sz w:val="20"/>
                              </w:rPr>
                              <w:t xml:space="preserve">Quiroga Acero, F. D. (2025). Estrategias Educativas de Emergencia: Lecciones de Colombia y Argentina para Escenarios Futuros. </w:t>
                            </w:r>
                            <w:proofErr w:type="spellStart"/>
                            <w:r w:rsidR="00FF5C48" w:rsidRPr="00FF5C48">
                              <w:rPr>
                                <w:rFonts w:ascii="Noto Sans" w:eastAsia="Noto Sans" w:hAnsi="Noto Sans" w:cs="Noto Sans"/>
                                <w:color w:val="000000"/>
                                <w:sz w:val="20"/>
                              </w:rPr>
                              <w:t>Discimus</w:t>
                            </w:r>
                            <w:proofErr w:type="spellEnd"/>
                            <w:r w:rsidR="00FF5C48" w:rsidRPr="00FF5C48">
                              <w:rPr>
                                <w:rFonts w:ascii="Noto Sans" w:eastAsia="Noto Sans" w:hAnsi="Noto Sans" w:cs="Noto Sans"/>
                                <w:color w:val="000000"/>
                                <w:sz w:val="20"/>
                              </w:rPr>
                              <w:t xml:space="preserve">. Revista Digital De Educación, 4(1), 53-82. </w:t>
                            </w:r>
                            <w:hyperlink r:id="rId13" w:history="1">
                              <w:r w:rsidR="00FF5C48" w:rsidRPr="00A80226">
                                <w:rPr>
                                  <w:rStyle w:val="Hipervnculo"/>
                                  <w:rFonts w:ascii="Noto Sans" w:eastAsia="Noto Sans" w:hAnsi="Noto Sans" w:cs="Noto Sans"/>
                                  <w:sz w:val="20"/>
                                </w:rPr>
                                <w:t>https://revistadiscimus.com/index.php/01/article/view/110</w:t>
                              </w:r>
                            </w:hyperlink>
                          </w:p>
                          <w:p w14:paraId="42E7C088" w14:textId="77777777" w:rsidR="001775FF" w:rsidRDefault="001775FF">
                            <w:pPr>
                              <w:textDirection w:val="btLr"/>
                            </w:pPr>
                          </w:p>
                        </w:txbxContent>
                      </wps:txbx>
                      <wps:bodyPr spcFirstLastPara="1" wrap="square" lIns="91425" tIns="45700" rIns="91425" bIns="45700" anchor="t" anchorCtr="0">
                        <a:noAutofit/>
                      </wps:bodyPr>
                    </wps:wsp>
                  </a:graphicData>
                </a:graphic>
              </wp:anchor>
            </w:drawing>
          </mc:Choice>
          <mc:Fallback>
            <w:pict>
              <v:rect w14:anchorId="44E7E209" id="Rectángulo 2060168193" o:spid="_x0000_s1031" style="position:absolute;margin-left:174.35pt;margin-top:5.9pt;width:338.85pt;height:86.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" filled="f">
                <v:stroke startarrowwidth="narrow" startarrowlength="short" endarrowwidth="narrow" endarrowlength="short" joinstyle="round"/>
                <v:textbox inset="2.53958mm,1.2694mm,2.53958mm,1.2694mm">
                  <w:txbxContent>
                    <w:p w14:paraId="65527858" w14:textId="77777777" w:rsidR="00FF5C48" w:rsidRDefault="00FF5C48">
                      <w:pPr>
                        <w:textDirection w:val="btLr"/>
                        <w:rPr>
                          <w:b/>
                          <w:color w:val="000000"/>
                        </w:rPr>
                      </w:pPr>
                    </w:p>
                    <w:p w14:paraId="651A742D" w14:textId="58B2FAF5" w:rsidR="001775FF" w:rsidRDefault="00000000">
                      <w:pPr>
                        <w:textDirection w:val="btLr"/>
                        <w:rPr>
                          <w:rFonts w:ascii="Noto Sans" w:eastAsia="Noto Sans" w:hAnsi="Noto Sans" w:cs="Noto Sans"/>
                          <w:color w:val="000000"/>
                          <w:sz w:val="20"/>
                        </w:rPr>
                      </w:pPr>
                      <w:r>
                        <w:rPr>
                          <w:b/>
                          <w:color w:val="000000"/>
                        </w:rPr>
                        <w:t>Como Citar:</w:t>
                      </w:r>
                      <w:r w:rsidR="00FF5C48" w:rsidRPr="00FF5C48">
                        <w:t xml:space="preserve"> </w:t>
                      </w:r>
                      <w:r w:rsidR="00FF5C48">
                        <w:t xml:space="preserve"> </w:t>
                      </w:r>
                      <w:r w:rsidR="00FF5C48" w:rsidRPr="00FF5C48">
                        <w:rPr>
                          <w:rFonts w:ascii="Noto Sans" w:eastAsia="Noto Sans" w:hAnsi="Noto Sans" w:cs="Noto Sans"/>
                          <w:color w:val="000000"/>
                          <w:sz w:val="20"/>
                        </w:rPr>
                        <w:t xml:space="preserve">Quiroga Acero, F. D. (2025). Estrategias Educativas de Emergencia: Lecciones de Colombia y Argentina para Escenarios Futuros. </w:t>
                      </w:r>
                      <w:proofErr w:type="spellStart"/>
                      <w:r w:rsidR="00FF5C48" w:rsidRPr="00FF5C48">
                        <w:rPr>
                          <w:rFonts w:ascii="Noto Sans" w:eastAsia="Noto Sans" w:hAnsi="Noto Sans" w:cs="Noto Sans"/>
                          <w:color w:val="000000"/>
                          <w:sz w:val="20"/>
                        </w:rPr>
                        <w:t>Discimus</w:t>
                      </w:r>
                      <w:proofErr w:type="spellEnd"/>
                      <w:r w:rsidR="00FF5C48" w:rsidRPr="00FF5C48">
                        <w:rPr>
                          <w:rFonts w:ascii="Noto Sans" w:eastAsia="Noto Sans" w:hAnsi="Noto Sans" w:cs="Noto Sans"/>
                          <w:color w:val="000000"/>
                          <w:sz w:val="20"/>
                        </w:rPr>
                        <w:t xml:space="preserve">. Revista Digital De Educación, 4(1), 53-82. </w:t>
                      </w:r>
                      <w:hyperlink r:id="rId14" w:history="1">
                        <w:r w:rsidR="00FF5C48" w:rsidRPr="00A80226">
                          <w:rPr>
                            <w:rStyle w:val="Hipervnculo"/>
                            <w:rFonts w:ascii="Noto Sans" w:eastAsia="Noto Sans" w:hAnsi="Noto Sans" w:cs="Noto Sans"/>
                            <w:sz w:val="20"/>
                          </w:rPr>
                          <w:t>https://revistadiscimus.com/index.php/01/article/view/110</w:t>
                        </w:r>
                      </w:hyperlink>
                    </w:p>
                    <w:p w14:paraId="42E7C088" w14:textId="77777777" w:rsidR="001775FF" w:rsidRDefault="001775FF">
                      <w:pPr>
                        <w:textDirection w:val="btLr"/>
                      </w:pPr>
                    </w:p>
                  </w:txbxContent>
                </v:textbox>
              </v:rect>
            </w:pict>
          </mc:Fallback>
        </mc:AlternateContent>
      </w:r>
      <w:r w:rsidR="00000000">
        <w:tab/>
      </w:r>
    </w:p>
    <w:p w14:paraId="6DFCFFE0" w14:textId="408975AA" w:rsidR="001775FF" w:rsidRDefault="001775FF">
      <w:pPr>
        <w:tabs>
          <w:tab w:val="left" w:pos="2679"/>
        </w:tabs>
      </w:pPr>
    </w:p>
    <w:p w14:paraId="1DF120CC" w14:textId="796C2981" w:rsidR="001775FF" w:rsidRDefault="001775FF">
      <w:pPr>
        <w:tabs>
          <w:tab w:val="left" w:pos="2679"/>
        </w:tabs>
      </w:pPr>
    </w:p>
    <w:p w14:paraId="468405A8" w14:textId="4F48CDB9" w:rsidR="001775FF" w:rsidRDefault="001775FF">
      <w:pPr>
        <w:tabs>
          <w:tab w:val="left" w:pos="2679"/>
        </w:tabs>
      </w:pPr>
    </w:p>
    <w:p w14:paraId="51D9C5D0" w14:textId="5D0D91A6" w:rsidR="001775FF" w:rsidRDefault="001775FF">
      <w:pPr>
        <w:tabs>
          <w:tab w:val="left" w:pos="2679"/>
        </w:tabs>
      </w:pPr>
    </w:p>
    <w:p w14:paraId="2A8696DA" w14:textId="1828921A" w:rsidR="001775FF" w:rsidRDefault="001775FF">
      <w:pPr>
        <w:tabs>
          <w:tab w:val="left" w:pos="2679"/>
        </w:tabs>
      </w:pPr>
    </w:p>
    <w:p w14:paraId="0855FE51" w14:textId="7DC0B342" w:rsidR="001775FF" w:rsidRDefault="001775FF">
      <w:pPr>
        <w:tabs>
          <w:tab w:val="left" w:pos="2679"/>
        </w:tabs>
      </w:pPr>
    </w:p>
    <w:p w14:paraId="660A2A16" w14:textId="77777777" w:rsidR="001775FF" w:rsidRDefault="001775FF">
      <w:pPr>
        <w:tabs>
          <w:tab w:val="left" w:pos="2679"/>
        </w:tabs>
        <w:sectPr w:rsidR="001775FF" w:rsidSect="00C71BE0">
          <w:headerReference w:type="even" r:id="rId15"/>
          <w:headerReference w:type="default" r:id="rId16"/>
          <w:footerReference w:type="even" r:id="rId17"/>
          <w:footerReference w:type="default" r:id="rId18"/>
          <w:headerReference w:type="first" r:id="rId19"/>
          <w:pgSz w:w="12240" w:h="15840"/>
          <w:pgMar w:top="1417" w:right="1701" w:bottom="1417" w:left="1701" w:header="708" w:footer="708" w:gutter="0"/>
          <w:pgNumType w:start="53"/>
          <w:cols w:space="720"/>
        </w:sectPr>
      </w:pPr>
    </w:p>
    <w:p w14:paraId="2EFD84D4" w14:textId="77777777" w:rsidR="001775FF" w:rsidRDefault="001775FF">
      <w:pPr>
        <w:tabs>
          <w:tab w:val="left" w:pos="2679"/>
        </w:tabs>
      </w:pPr>
    </w:p>
    <w:p w14:paraId="4EDD9600" w14:textId="6DA55D23" w:rsidR="001775FF" w:rsidRDefault="00C71BE0">
      <w:pPr>
        <w:tabs>
          <w:tab w:val="left" w:pos="2679"/>
        </w:tabs>
        <w:jc w:val="center"/>
        <w:rPr>
          <w:b/>
          <w:sz w:val="28"/>
          <w:szCs w:val="28"/>
        </w:rPr>
      </w:pPr>
      <w:r>
        <w:rPr>
          <w:noProof/>
        </w:rPr>
        <w:lastRenderedPageBreak/>
        <w:drawing>
          <wp:anchor distT="0" distB="0" distL="0" distR="0" simplePos="0" relativeHeight="251666432" behindDoc="1" locked="0" layoutInCell="1" hidden="0" allowOverlap="1" wp14:anchorId="7268B75A" wp14:editId="01C37F84">
            <wp:simplePos x="0" y="0"/>
            <wp:positionH relativeFrom="column">
              <wp:posOffset>-773518</wp:posOffset>
            </wp:positionH>
            <wp:positionV relativeFrom="paragraph">
              <wp:posOffset>-753488</wp:posOffset>
            </wp:positionV>
            <wp:extent cx="7794404" cy="11025451"/>
            <wp:effectExtent l="0" t="0" r="0" b="0"/>
            <wp:wrapNone/>
            <wp:docPr id="2060168196"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8"/>
                    <a:srcRect/>
                    <a:stretch>
                      <a:fillRect/>
                    </a:stretch>
                  </pic:blipFill>
                  <pic:spPr>
                    <a:xfrm>
                      <a:off x="0" y="0"/>
                      <a:ext cx="7794404" cy="11025451"/>
                    </a:xfrm>
                    <a:prstGeom prst="rect">
                      <a:avLst/>
                    </a:prstGeom>
                    <a:ln/>
                  </pic:spPr>
                </pic:pic>
              </a:graphicData>
            </a:graphic>
          </wp:anchor>
        </w:drawing>
      </w:r>
      <w:r w:rsidR="00000000">
        <w:rPr>
          <w:b/>
        </w:rPr>
        <w:t xml:space="preserve"> </w:t>
      </w:r>
    </w:p>
    <w:p w14:paraId="25D067CD" w14:textId="146E7C5B" w:rsidR="001775FF" w:rsidRDefault="001775FF">
      <w:pPr>
        <w:tabs>
          <w:tab w:val="left" w:pos="2679"/>
        </w:tabs>
        <w:jc w:val="center"/>
        <w:rPr>
          <w:b/>
          <w:sz w:val="28"/>
          <w:szCs w:val="28"/>
        </w:rPr>
      </w:pPr>
    </w:p>
    <w:p w14:paraId="472AE93B" w14:textId="77777777" w:rsidR="001775FF" w:rsidRDefault="001775FF">
      <w:pPr>
        <w:tabs>
          <w:tab w:val="left" w:pos="2679"/>
        </w:tabs>
        <w:jc w:val="center"/>
        <w:rPr>
          <w:rFonts w:ascii="Times New Roman" w:eastAsia="Times New Roman" w:hAnsi="Times New Roman" w:cs="Times New Roman"/>
          <w:b/>
          <w:sz w:val="28"/>
          <w:szCs w:val="28"/>
        </w:rPr>
      </w:pPr>
    </w:p>
    <w:p w14:paraId="54425A65" w14:textId="77777777" w:rsidR="001775FF" w:rsidRDefault="001775FF">
      <w:pPr>
        <w:tabs>
          <w:tab w:val="left" w:pos="2679"/>
        </w:tabs>
        <w:jc w:val="center"/>
        <w:rPr>
          <w:rFonts w:ascii="Times New Roman" w:eastAsia="Times New Roman" w:hAnsi="Times New Roman" w:cs="Times New Roman"/>
          <w:b/>
          <w:sz w:val="28"/>
          <w:szCs w:val="28"/>
        </w:rPr>
      </w:pPr>
    </w:p>
    <w:p w14:paraId="1092A5FE" w14:textId="77777777" w:rsidR="001775FF" w:rsidRDefault="00000000">
      <w:pPr>
        <w:spacing w:after="16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Estrategias Educativas de Emergencia: Lecciones de Colombia y Argentina para Escenarios Futuros.</w:t>
      </w:r>
    </w:p>
    <w:p w14:paraId="64F6B7D2" w14:textId="77777777" w:rsidR="001775FF" w:rsidRPr="00DB5D88" w:rsidRDefault="00000000">
      <w:pPr>
        <w:jc w:val="center"/>
        <w:rPr>
          <w:rFonts w:ascii="Times New Roman" w:eastAsia="Times New Roman" w:hAnsi="Times New Roman" w:cs="Times New Roman"/>
          <w:sz w:val="26"/>
          <w:szCs w:val="26"/>
          <w:lang w:val="en-US"/>
        </w:rPr>
      </w:pPr>
      <w:r w:rsidRPr="00DB5D88">
        <w:rPr>
          <w:rFonts w:ascii="Times New Roman" w:eastAsia="Times New Roman" w:hAnsi="Times New Roman" w:cs="Times New Roman"/>
          <w:sz w:val="26"/>
          <w:szCs w:val="26"/>
          <w:lang w:val="en-US"/>
        </w:rPr>
        <w:t>Emergency Education Strategies: Lessons from Colombia and Argentina for Future Scenarios.</w:t>
      </w:r>
    </w:p>
    <w:p w14:paraId="67F6D61E" w14:textId="77777777" w:rsidR="001775FF"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highlight w:val="white"/>
        </w:rPr>
        <w:t>Felipe Daniel Quiroga Acero</w:t>
      </w:r>
      <w:r>
        <w:rPr>
          <w:rFonts w:ascii="Times New Roman" w:eastAsia="Times New Roman" w:hAnsi="Times New Roman" w:cs="Times New Roman"/>
          <w:highlight w:val="white"/>
          <w:vertAlign w:val="superscript"/>
        </w:rPr>
        <w:footnoteReference w:id="1"/>
      </w:r>
      <w:r>
        <w:rPr>
          <w:rFonts w:ascii="Times New Roman" w:eastAsia="Times New Roman" w:hAnsi="Times New Roman" w:cs="Times New Roman"/>
          <w:highlight w:val="white"/>
        </w:rPr>
        <w:t>.</w:t>
      </w:r>
    </w:p>
    <w:p w14:paraId="684D3FD8" w14:textId="77777777" w:rsidR="001775FF" w:rsidRDefault="001775FF" w:rsidP="00DB5D88">
      <w:pPr>
        <w:pBdr>
          <w:top w:val="nil"/>
          <w:left w:val="nil"/>
          <w:bottom w:val="nil"/>
          <w:right w:val="nil"/>
          <w:between w:val="nil"/>
        </w:pBdr>
        <w:rPr>
          <w:rFonts w:ascii="Times New Roman" w:eastAsia="Times New Roman" w:hAnsi="Times New Roman" w:cs="Times New Roman"/>
          <w:highlight w:val="white"/>
        </w:rPr>
      </w:pPr>
    </w:p>
    <w:p w14:paraId="15A9DD79" w14:textId="77777777" w:rsidR="00DB5D88" w:rsidRDefault="00DB5D88" w:rsidP="00DB5D88">
      <w:pPr>
        <w:pBdr>
          <w:top w:val="nil"/>
          <w:left w:val="nil"/>
          <w:bottom w:val="nil"/>
          <w:right w:val="nil"/>
          <w:between w:val="nil"/>
        </w:pBdr>
        <w:rPr>
          <w:rFonts w:ascii="Times New Roman" w:eastAsia="Times New Roman" w:hAnsi="Times New Roman" w:cs="Times New Roman"/>
          <w:highlight w:val="white"/>
        </w:rPr>
        <w:sectPr w:rsidR="00DB5D88">
          <w:type w:val="continuous"/>
          <w:pgSz w:w="12240" w:h="15840"/>
          <w:pgMar w:top="1134" w:right="1134" w:bottom="1134" w:left="1134" w:header="708" w:footer="708" w:gutter="0"/>
          <w:cols w:space="720"/>
        </w:sectPr>
      </w:pPr>
    </w:p>
    <w:p w14:paraId="30A235D0" w14:textId="77777777" w:rsidR="001775FF" w:rsidRDefault="00000000" w:rsidP="00DB5D88">
      <w:pPr>
        <w:tabs>
          <w:tab w:val="left" w:pos="2679"/>
        </w:tabs>
        <w:rPr>
          <w:rFonts w:ascii="ADLaM Display" w:eastAsia="ADLaM Display" w:hAnsi="ADLaM Display" w:cs="ADLaM Display"/>
        </w:rPr>
      </w:pPr>
      <w:r>
        <w:rPr>
          <w:rFonts w:ascii="ADLaM Display" w:eastAsia="ADLaM Display" w:hAnsi="ADLaM Display" w:cs="ADLaM Display"/>
        </w:rPr>
        <w:t xml:space="preserve">Resumen </w:t>
      </w:r>
    </w:p>
    <w:p w14:paraId="1136ADB7" w14:textId="77777777" w:rsidR="00DB5D88" w:rsidRPr="00DB5D88" w:rsidRDefault="00DB5D88" w:rsidP="00DB5D88">
      <w:pPr>
        <w:tabs>
          <w:tab w:val="left" w:pos="2679"/>
        </w:tabs>
        <w:rPr>
          <w:rFonts w:ascii="ADLaM Display" w:eastAsia="ADLaM Display" w:hAnsi="ADLaM Display" w:cs="ADLaM Display"/>
        </w:rPr>
      </w:pPr>
    </w:p>
    <w:p w14:paraId="59F731A5" w14:textId="77777777" w:rsidR="001775FF" w:rsidRPr="00DB5D88" w:rsidRDefault="00000000">
      <w:pPr>
        <w:spacing w:after="160" w:line="276" w:lineRule="auto"/>
        <w:jc w:val="both"/>
        <w:rPr>
          <w:rFonts w:ascii="Times New Roman" w:eastAsia="Times New Roman" w:hAnsi="Times New Roman" w:cs="Times New Roman"/>
        </w:rPr>
      </w:pPr>
      <w:r w:rsidRPr="00DB5D88">
        <w:rPr>
          <w:rFonts w:ascii="Times New Roman" w:eastAsia="Times New Roman" w:hAnsi="Times New Roman" w:cs="Times New Roman"/>
        </w:rPr>
        <w:t xml:space="preserve">Este estudio explora las estrategias educativas implementadas en Colombia y Argentina durante la pandemia de COVID-19, resaltando las lecciones aprendidas para mejorar la equidad en la educación en escenarios de emergencia. A través de una revisión integrativa, se examinaron fuentes académicas, normativas y entrevistas con expertos. El estudio reconoce la resiliencia de las comunidades educativas, y enfatiza que esta debe incluir apoyo institucional adecuado. El análisis también revela cómo la emergencia exacerbó las desigualdades educativas, particularmente en el acceso a tecnologías digitales. Además, presenta la importancia de la gestión del riesgo, enfatizando la necesidad de evaluaciones de vulnerabilidad y una planificación estructural que mitigue el impacto de futuras emergencias. Se argumenta que la preparación anticipada evita respuestas reactivas o asistencialistas y contribuye a construir sistemas educativos más sostenibles. Asimismo, se retoma el rol social de las instituciones educativas, que es fundamental, ya que la colaboración entre docentes y comunidades es clave </w:t>
      </w:r>
      <w:r w:rsidRPr="00DB5D88">
        <w:rPr>
          <w:rFonts w:ascii="Times New Roman" w:eastAsia="Times New Roman" w:hAnsi="Times New Roman" w:cs="Times New Roman"/>
        </w:rPr>
        <w:t>para superar los desafíos. También muestra cómo, aunque la educación virtual fue efectiva en algunos casos, no puede reemplazar la presencialidad y debe complementarse con recursos adecuados para garantizar la equidad. Finalmente, se destaca la relevancia de la salud mental y el bienestar socioemocional de los estudiantes, considerando este aspecto esencial en las políticas educativas futuras. Las lecciones aprendidas sugieren la necesidad de enfoques inclusivos, colaborativos y basados en la gestión del riesgo para fortalecer la equidad y la resiliencia del sistema educativo ante futuras emergencias.</w:t>
      </w:r>
    </w:p>
    <w:p w14:paraId="7B3872E9" w14:textId="77777777" w:rsidR="001775FF" w:rsidRPr="00DB5D88" w:rsidRDefault="001775FF">
      <w:pPr>
        <w:spacing w:line="360" w:lineRule="auto"/>
        <w:jc w:val="both"/>
        <w:rPr>
          <w:rFonts w:ascii="Times New Roman" w:eastAsia="Times New Roman" w:hAnsi="Times New Roman" w:cs="Times New Roman"/>
        </w:rPr>
      </w:pPr>
    </w:p>
    <w:p w14:paraId="3F9D4B08" w14:textId="77777777" w:rsidR="001775FF" w:rsidRPr="00DB5D88" w:rsidRDefault="001775FF">
      <w:pPr>
        <w:widowControl w:val="0"/>
        <w:spacing w:before="185" w:line="360" w:lineRule="auto"/>
        <w:ind w:right="84"/>
        <w:jc w:val="both"/>
        <w:rPr>
          <w:rFonts w:ascii="Times New Roman" w:eastAsia="Times New Roman" w:hAnsi="Times New Roman" w:cs="Times New Roman"/>
        </w:rPr>
      </w:pPr>
    </w:p>
    <w:p w14:paraId="10544B73" w14:textId="77777777" w:rsidR="001775FF" w:rsidRPr="00DB5D88" w:rsidRDefault="00000000">
      <w:pPr>
        <w:tabs>
          <w:tab w:val="left" w:pos="2679"/>
        </w:tabs>
        <w:jc w:val="center"/>
        <w:rPr>
          <w:rFonts w:ascii="ADLaM Display" w:eastAsia="ADLaM Display" w:hAnsi="ADLaM Display" w:cs="ADLaM Display"/>
        </w:rPr>
      </w:pPr>
      <w:r w:rsidRPr="00DB5D88">
        <w:rPr>
          <w:rFonts w:ascii="ADLaM Display" w:eastAsia="ADLaM Display" w:hAnsi="ADLaM Display" w:cs="ADLaM Display"/>
        </w:rPr>
        <w:t xml:space="preserve">Palabras Clave </w:t>
      </w:r>
    </w:p>
    <w:p w14:paraId="0CDF3094" w14:textId="77777777" w:rsidR="001775FF" w:rsidRPr="00DB5D88" w:rsidRDefault="00000000">
      <w:pPr>
        <w:spacing w:line="276" w:lineRule="auto"/>
        <w:ind w:left="720"/>
        <w:jc w:val="both"/>
        <w:rPr>
          <w:rFonts w:ascii="Times New Roman" w:eastAsia="Times New Roman" w:hAnsi="Times New Roman" w:cs="Times New Roman"/>
        </w:rPr>
      </w:pPr>
      <w:r w:rsidRPr="00DB5D88">
        <w:rPr>
          <w:rFonts w:ascii="Times New Roman" w:eastAsia="Times New Roman" w:hAnsi="Times New Roman" w:cs="Times New Roman"/>
        </w:rPr>
        <w:t>Educación en emergencias, estrategias pedagógicas, equidad educativa, pandemia COVID-19 y brecha digital.</w:t>
      </w:r>
    </w:p>
    <w:p w14:paraId="69576146" w14:textId="77777777" w:rsidR="001775FF" w:rsidRDefault="001775FF">
      <w:pPr>
        <w:spacing w:line="360" w:lineRule="auto"/>
        <w:jc w:val="both"/>
        <w:rPr>
          <w:rFonts w:ascii="Times New Roman" w:eastAsia="Times New Roman" w:hAnsi="Times New Roman" w:cs="Times New Roman"/>
          <w:sz w:val="20"/>
          <w:szCs w:val="20"/>
        </w:rPr>
      </w:pPr>
    </w:p>
    <w:p w14:paraId="77D32830" w14:textId="77777777" w:rsidR="00DB5D88" w:rsidRDefault="00DB5D88">
      <w:pPr>
        <w:spacing w:line="360" w:lineRule="auto"/>
        <w:jc w:val="center"/>
        <w:rPr>
          <w:rFonts w:ascii="ADLaM Display" w:eastAsia="ADLaM Display" w:hAnsi="ADLaM Display" w:cs="ADLaM Display"/>
          <w:lang w:val="en-US"/>
        </w:rPr>
      </w:pPr>
    </w:p>
    <w:p w14:paraId="42A63F32" w14:textId="77777777" w:rsidR="00DB5D88" w:rsidRDefault="00DB5D88">
      <w:pPr>
        <w:spacing w:line="360" w:lineRule="auto"/>
        <w:jc w:val="center"/>
        <w:rPr>
          <w:rFonts w:ascii="ADLaM Display" w:eastAsia="ADLaM Display" w:hAnsi="ADLaM Display" w:cs="ADLaM Display"/>
          <w:lang w:val="en-US"/>
        </w:rPr>
      </w:pPr>
    </w:p>
    <w:p w14:paraId="0594892E" w14:textId="77777777" w:rsidR="00DB5D88" w:rsidRDefault="00DB5D88">
      <w:pPr>
        <w:spacing w:line="360" w:lineRule="auto"/>
        <w:jc w:val="center"/>
        <w:rPr>
          <w:rFonts w:ascii="ADLaM Display" w:eastAsia="ADLaM Display" w:hAnsi="ADLaM Display" w:cs="ADLaM Display"/>
          <w:lang w:val="en-US"/>
        </w:rPr>
      </w:pPr>
    </w:p>
    <w:p w14:paraId="583BAD85" w14:textId="02DFDF6B" w:rsidR="001775FF" w:rsidRPr="00DB5D88" w:rsidRDefault="00000000" w:rsidP="00DB5D88">
      <w:pPr>
        <w:spacing w:line="360" w:lineRule="auto"/>
        <w:jc w:val="center"/>
        <w:rPr>
          <w:rFonts w:ascii="Times New Roman" w:eastAsia="Times New Roman" w:hAnsi="Times New Roman" w:cs="Times New Roman"/>
          <w:lang w:val="en-US"/>
        </w:rPr>
      </w:pPr>
      <w:r w:rsidRPr="00DB5D88">
        <w:rPr>
          <w:rFonts w:ascii="ADLaM Display" w:eastAsia="ADLaM Display" w:hAnsi="ADLaM Display" w:cs="ADLaM Display"/>
          <w:lang w:val="en-US"/>
        </w:rPr>
        <w:lastRenderedPageBreak/>
        <w:t>Abstract</w:t>
      </w:r>
    </w:p>
    <w:p w14:paraId="0B6F5CB7" w14:textId="77777777" w:rsidR="00DB5D88" w:rsidRPr="00DB5D88" w:rsidRDefault="00000000" w:rsidP="00DB5D88">
      <w:pPr>
        <w:spacing w:after="160" w:line="276" w:lineRule="auto"/>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This study explores the educational strategies implemented in Colombia and Argentina during the COVID-19 pandemic, highlighting the lessons learned to improve equity in education in emergency contexts. Through an integrative review, academic and normative sources, as well as interviews with education policy experts from both countries, were examined. The study emphasizes the resilience of educational communities but warns against romanticizing this resilience, as doing so may undermine the need for adequate institutional support. The analysis also reveals how the emergency exacerbated educational inequalities, particularly regarding access to digital </w:t>
      </w:r>
      <w:r w:rsidR="00DB5D88" w:rsidRPr="00DB5D88">
        <w:rPr>
          <w:rFonts w:ascii="Times New Roman" w:eastAsia="Times New Roman" w:hAnsi="Times New Roman" w:cs="Times New Roman"/>
          <w:lang w:val="en-US"/>
        </w:rPr>
        <w:t xml:space="preserve">role of educational institutions, noting that collaboration between teachers, families, and communities is key to overcoming challenges. Additionally, while virtual education was effective in some cases, it cannot replace in-person education and must be complemented by adequate resources to ensure equity. </w:t>
      </w:r>
    </w:p>
    <w:p w14:paraId="44EE9069" w14:textId="7BF2FCC0" w:rsidR="00DB5D88" w:rsidRPr="00DB5D88" w:rsidRDefault="00DB5D88" w:rsidP="00DB5D88">
      <w:pPr>
        <w:spacing w:after="160" w:line="276" w:lineRule="auto"/>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Finally, the study stresses the relevance of students' mental health</w:t>
      </w:r>
      <w:r w:rsidRPr="00DB5D88">
        <w:rPr>
          <w:rFonts w:ascii="Times New Roman" w:eastAsia="Times New Roman" w:hAnsi="Times New Roman" w:cs="Times New Roman"/>
          <w:lang w:val="en-US"/>
        </w:rPr>
        <w:t xml:space="preserve"> </w:t>
      </w:r>
      <w:r w:rsidRPr="00DB5D88">
        <w:rPr>
          <w:rFonts w:ascii="Times New Roman" w:eastAsia="Times New Roman" w:hAnsi="Times New Roman" w:cs="Times New Roman"/>
          <w:lang w:val="en-US"/>
        </w:rPr>
        <w:t>and socio-emotional well-being, considering this an essential aspect for future educational policies. The lessons learned suggest the need for inclusive, collaborative, and risk-based approaches to strengthen the equity and resilience of the educational system in the face of future emergencies.</w:t>
      </w:r>
      <w:r w:rsidR="00C71BE0">
        <w:rPr>
          <w:rFonts w:ascii="Times New Roman" w:eastAsia="Times New Roman" w:hAnsi="Times New Roman" w:cs="Times New Roman"/>
          <w:lang w:val="en-US"/>
        </w:rPr>
        <w:t xml:space="preserve"> </w:t>
      </w:r>
      <w:proofErr w:type="gramStart"/>
      <w:r w:rsidRPr="00DB5D88">
        <w:rPr>
          <w:rFonts w:ascii="Times New Roman" w:eastAsia="Times New Roman" w:hAnsi="Times New Roman" w:cs="Times New Roman"/>
          <w:lang w:val="en-US"/>
        </w:rPr>
        <w:t>technologies</w:t>
      </w:r>
      <w:proofErr w:type="gramEnd"/>
      <w:r w:rsidRPr="00DB5D88">
        <w:rPr>
          <w:rFonts w:ascii="Times New Roman" w:eastAsia="Times New Roman" w:hAnsi="Times New Roman" w:cs="Times New Roman"/>
          <w:lang w:val="en-US"/>
        </w:rPr>
        <w:t xml:space="preserve">. Furthermore, it underscores the importance of risk management, emphasizing the need for vulnerability </w:t>
      </w:r>
      <w:r w:rsidRPr="00DB5D88">
        <w:rPr>
          <w:rFonts w:ascii="Times New Roman" w:eastAsia="Times New Roman" w:hAnsi="Times New Roman" w:cs="Times New Roman"/>
          <w:lang w:val="en-US"/>
        </w:rPr>
        <w:t xml:space="preserve">assessments and structural planning to mitigate the impact of future emergencies. The study argues that anticipatory preparation prevents reactive or welfarist responses and helps build more sustainable educational systems. It also highlights the fundamental social </w:t>
      </w:r>
    </w:p>
    <w:p w14:paraId="047CA129" w14:textId="0F26D56D" w:rsidR="001775FF" w:rsidRPr="00DB5D88" w:rsidRDefault="00DB5D88">
      <w:pPr>
        <w:spacing w:after="160" w:line="276" w:lineRule="auto"/>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 </w:t>
      </w:r>
    </w:p>
    <w:p w14:paraId="3C3F4D34" w14:textId="77777777" w:rsidR="001775FF" w:rsidRPr="00DB5D88" w:rsidRDefault="001775FF">
      <w:pPr>
        <w:spacing w:line="360" w:lineRule="auto"/>
        <w:jc w:val="both"/>
        <w:rPr>
          <w:rFonts w:ascii="Times New Roman" w:eastAsia="Times New Roman" w:hAnsi="Times New Roman" w:cs="Times New Roman"/>
          <w:lang w:val="en-US"/>
        </w:rPr>
      </w:pPr>
    </w:p>
    <w:p w14:paraId="63819D47" w14:textId="77777777" w:rsidR="001775FF" w:rsidRPr="00DB5D88" w:rsidRDefault="00000000">
      <w:pPr>
        <w:tabs>
          <w:tab w:val="left" w:pos="2679"/>
        </w:tabs>
        <w:jc w:val="center"/>
        <w:rPr>
          <w:rFonts w:ascii="ADLaM Display" w:eastAsia="ADLaM Display" w:hAnsi="ADLaM Display" w:cs="ADLaM Display"/>
          <w:lang w:val="en-US"/>
        </w:rPr>
      </w:pPr>
      <w:r w:rsidRPr="00DB5D88">
        <w:rPr>
          <w:rFonts w:ascii="ADLaM Display" w:eastAsia="ADLaM Display" w:hAnsi="ADLaM Display" w:cs="ADLaM Display"/>
          <w:lang w:val="en-US"/>
        </w:rPr>
        <w:t>Keywords</w:t>
      </w:r>
    </w:p>
    <w:p w14:paraId="182B2795" w14:textId="1A8C6D54" w:rsidR="001775FF" w:rsidRPr="00DB5D88" w:rsidRDefault="00000000" w:rsidP="00DB5D88">
      <w:pPr>
        <w:spacing w:line="276" w:lineRule="auto"/>
        <w:ind w:left="720"/>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Education in emergencies, Pedagogical strategies, </w:t>
      </w:r>
      <w:proofErr w:type="gramStart"/>
      <w:r w:rsidRPr="00DB5D88">
        <w:rPr>
          <w:rFonts w:ascii="Times New Roman" w:eastAsia="Times New Roman" w:hAnsi="Times New Roman" w:cs="Times New Roman"/>
          <w:lang w:val="en-US"/>
        </w:rPr>
        <w:t>Educational</w:t>
      </w:r>
      <w:proofErr w:type="gramEnd"/>
      <w:r w:rsidRPr="00DB5D88">
        <w:rPr>
          <w:rFonts w:ascii="Times New Roman" w:eastAsia="Times New Roman" w:hAnsi="Times New Roman" w:cs="Times New Roman"/>
          <w:lang w:val="en-US"/>
        </w:rPr>
        <w:t xml:space="preserve"> equity, COVID-19 pandemic, digital divide.</w:t>
      </w:r>
    </w:p>
    <w:p w14:paraId="570C8777"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5417BD10"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47215334"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654E95A0"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2C0531F6"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4D198A45"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3B91D823"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3AAF8437"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365A3648"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05FE21B1"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3CA88342"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18DEAEED"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65147B71"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22AB0AF5"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49C016B9"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1F1DBD03"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56885C09" w14:textId="77777777" w:rsidR="00DB5D88" w:rsidRPr="00DB5D88" w:rsidRDefault="00DB5D88" w:rsidP="00DB5D88">
      <w:pPr>
        <w:spacing w:line="276" w:lineRule="auto"/>
        <w:jc w:val="both"/>
        <w:rPr>
          <w:rFonts w:ascii="Times New Roman" w:eastAsia="Times New Roman" w:hAnsi="Times New Roman" w:cs="Times New Roman"/>
          <w:lang w:val="en-US"/>
        </w:rPr>
      </w:pPr>
    </w:p>
    <w:p w14:paraId="4E00ED3D"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74D33F4B"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393A917A"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6FA8075E" w14:textId="77777777" w:rsidR="00DB5D88" w:rsidRPr="00DB5D88" w:rsidRDefault="00DB5D88" w:rsidP="00DB5D88">
      <w:pPr>
        <w:spacing w:line="276" w:lineRule="auto"/>
        <w:ind w:left="720"/>
        <w:jc w:val="both"/>
        <w:rPr>
          <w:rFonts w:ascii="Times New Roman" w:eastAsia="Times New Roman" w:hAnsi="Times New Roman" w:cs="Times New Roman"/>
          <w:lang w:val="en-US"/>
        </w:rPr>
      </w:pPr>
    </w:p>
    <w:p w14:paraId="47754B5F" w14:textId="77777777" w:rsidR="00DB5D88" w:rsidRPr="00DB5D88" w:rsidRDefault="00DB5D88" w:rsidP="00DB5D88">
      <w:pPr>
        <w:spacing w:line="276" w:lineRule="auto"/>
        <w:jc w:val="both"/>
        <w:rPr>
          <w:rFonts w:ascii="Times New Roman" w:eastAsia="Times New Roman" w:hAnsi="Times New Roman" w:cs="Times New Roman"/>
          <w:lang w:val="en-US"/>
        </w:rPr>
      </w:pPr>
    </w:p>
    <w:p w14:paraId="21C32E56" w14:textId="77777777" w:rsidR="00DB5D88" w:rsidRDefault="00DB5D88" w:rsidP="00DB5D88">
      <w:pPr>
        <w:spacing w:line="276" w:lineRule="auto"/>
        <w:jc w:val="both"/>
        <w:rPr>
          <w:rFonts w:ascii="Times New Roman" w:eastAsia="Times New Roman" w:hAnsi="Times New Roman" w:cs="Times New Roman"/>
          <w:sz w:val="20"/>
          <w:szCs w:val="20"/>
          <w:lang w:val="en-US"/>
        </w:rPr>
      </w:pPr>
    </w:p>
    <w:p w14:paraId="2DAAB7FB" w14:textId="77777777" w:rsidR="00DB5D88" w:rsidRDefault="00DB5D88" w:rsidP="00DB5D88">
      <w:pPr>
        <w:spacing w:line="276" w:lineRule="auto"/>
        <w:ind w:left="720"/>
        <w:jc w:val="both"/>
        <w:rPr>
          <w:rFonts w:ascii="Times New Roman" w:eastAsia="Times New Roman" w:hAnsi="Times New Roman" w:cs="Times New Roman"/>
          <w:sz w:val="20"/>
          <w:szCs w:val="20"/>
          <w:lang w:val="en-US"/>
        </w:rPr>
      </w:pPr>
    </w:p>
    <w:p w14:paraId="669C2893" w14:textId="77777777" w:rsidR="00DB5D88" w:rsidRDefault="00DB5D88" w:rsidP="00DB5D88">
      <w:pPr>
        <w:spacing w:line="276" w:lineRule="auto"/>
        <w:ind w:left="720"/>
        <w:jc w:val="both"/>
        <w:rPr>
          <w:rFonts w:ascii="Times New Roman" w:eastAsia="Times New Roman" w:hAnsi="Times New Roman" w:cs="Times New Roman"/>
          <w:sz w:val="20"/>
          <w:szCs w:val="20"/>
          <w:lang w:val="en-US"/>
        </w:rPr>
      </w:pPr>
    </w:p>
    <w:p w14:paraId="59985B2C" w14:textId="77777777" w:rsidR="00DB5D88" w:rsidRPr="00DB5D88" w:rsidRDefault="00DB5D88" w:rsidP="00DB5D88">
      <w:pPr>
        <w:spacing w:line="276" w:lineRule="auto"/>
        <w:ind w:left="720"/>
        <w:jc w:val="both"/>
        <w:rPr>
          <w:rFonts w:ascii="Times New Roman" w:eastAsia="Times New Roman" w:hAnsi="Times New Roman" w:cs="Times New Roman"/>
          <w:sz w:val="20"/>
          <w:szCs w:val="20"/>
          <w:lang w:val="en-US"/>
        </w:rPr>
      </w:pPr>
    </w:p>
    <w:p w14:paraId="18047C73" w14:textId="77777777" w:rsidR="001775FF" w:rsidRPr="00DB5D88" w:rsidRDefault="001775FF">
      <w:pPr>
        <w:tabs>
          <w:tab w:val="left" w:pos="2679"/>
        </w:tabs>
        <w:rPr>
          <w:rFonts w:ascii="ADLaM Display" w:eastAsia="ADLaM Display" w:hAnsi="ADLaM Display" w:cs="ADLaM Display"/>
          <w:lang w:val="en-US"/>
        </w:rPr>
        <w:sectPr w:rsidR="001775FF" w:rsidRPr="00DB5D88">
          <w:type w:val="continuous"/>
          <w:pgSz w:w="12240" w:h="15840"/>
          <w:pgMar w:top="1417" w:right="1701" w:bottom="1417" w:left="1701" w:header="708" w:footer="708" w:gutter="0"/>
          <w:cols w:num="2" w:space="720" w:equalWidth="0">
            <w:col w:w="4059" w:space="720"/>
            <w:col w:w="4059" w:space="0"/>
          </w:cols>
        </w:sectPr>
      </w:pPr>
    </w:p>
    <w:p w14:paraId="0E0E3099" w14:textId="2CCC42C7" w:rsidR="001775FF" w:rsidRDefault="00000000">
      <w:pPr>
        <w:spacing w:after="160" w:line="360" w:lineRule="auto"/>
        <w:jc w:val="both"/>
        <w:rPr>
          <w:rFonts w:ascii="Arial" w:eastAsia="Arial" w:hAnsi="Arial" w:cs="Arial"/>
          <w:b/>
        </w:rPr>
      </w:pPr>
      <w:r>
        <w:rPr>
          <w:rFonts w:ascii="Arial" w:eastAsia="Arial" w:hAnsi="Arial" w:cs="Arial"/>
          <w:b/>
        </w:rPr>
        <w:lastRenderedPageBreak/>
        <w:t xml:space="preserve">Introducción </w:t>
      </w:r>
    </w:p>
    <w:p w14:paraId="516B03B8" w14:textId="77777777" w:rsidR="001775FF" w:rsidRDefault="00000000" w:rsidP="00DB5D88">
      <w:pPr>
        <w:spacing w:after="160" w:line="360" w:lineRule="auto"/>
        <w:ind w:firstLine="720"/>
        <w:jc w:val="both"/>
        <w:rPr>
          <w:rFonts w:ascii="Arial" w:eastAsia="Arial" w:hAnsi="Arial" w:cs="Arial"/>
        </w:rPr>
      </w:pPr>
      <w:bookmarkStart w:id="0" w:name="_heading=h.gjdgxs" w:colFirst="0" w:colLast="0"/>
      <w:bookmarkEnd w:id="0"/>
      <w:r>
        <w:rPr>
          <w:rFonts w:ascii="Arial" w:eastAsia="Arial" w:hAnsi="Arial" w:cs="Arial"/>
        </w:rPr>
        <w:t>La literatura evidencia que la gestión de crisis y emergencias impacta la prestación de los servicios educativos. Aunque estos conceptos están relacionados, es crucial diferenciarlos. Una crisis es un momento decisivo, relevante y temporal que puede desordenar los sistemas y generar cambios, positivos o negativos (</w:t>
      </w:r>
      <w:proofErr w:type="spellStart"/>
      <w:r>
        <w:rPr>
          <w:rFonts w:ascii="Arial" w:eastAsia="Arial" w:hAnsi="Arial" w:cs="Arial"/>
        </w:rPr>
        <w:t>Lavell</w:t>
      </w:r>
      <w:proofErr w:type="spellEnd"/>
      <w:r>
        <w:rPr>
          <w:rFonts w:ascii="Arial" w:eastAsia="Arial" w:hAnsi="Arial" w:cs="Arial"/>
        </w:rPr>
        <w:t>, 2000). Este fenómeno implica un cambio súbito, intensificado por la percepción subjetiva y los medios de comunicación, que pueden gestionarlo o exacerbarlo. Como indica Habermas (1984), la crisis dificulta la respuesta a las demandas sociales y altera significativamente el funcionamiento normal de los sistemas, generando incertidumbre y desorden. Aunque temporal, puede prolongarse sin soluciones inmediatas (</w:t>
      </w:r>
      <w:proofErr w:type="spellStart"/>
      <w:r>
        <w:rPr>
          <w:rFonts w:ascii="Arial" w:eastAsia="Arial" w:hAnsi="Arial" w:cs="Arial"/>
        </w:rPr>
        <w:t>Lavell</w:t>
      </w:r>
      <w:proofErr w:type="spellEnd"/>
      <w:r>
        <w:rPr>
          <w:rFonts w:ascii="Arial" w:eastAsia="Arial" w:hAnsi="Arial" w:cs="Arial"/>
        </w:rPr>
        <w:t>, 2000).</w:t>
      </w:r>
    </w:p>
    <w:p w14:paraId="117A9525" w14:textId="77777777" w:rsidR="001775FF" w:rsidRDefault="00000000">
      <w:pPr>
        <w:spacing w:after="160" w:line="360" w:lineRule="auto"/>
        <w:jc w:val="both"/>
        <w:rPr>
          <w:rFonts w:ascii="Arial" w:eastAsia="Arial" w:hAnsi="Arial" w:cs="Arial"/>
        </w:rPr>
      </w:pPr>
      <w:r>
        <w:rPr>
          <w:rFonts w:ascii="Arial" w:eastAsia="Arial" w:hAnsi="Arial" w:cs="Arial"/>
        </w:rPr>
        <w:t>En contraste, la emergencia es un estado temporal declarado por autoridades para gestionar eventos específicos que interrumpen los servicios normales, exigiendo respuestas rápidas para mitigar efectos negativos (</w:t>
      </w:r>
      <w:proofErr w:type="spellStart"/>
      <w:r>
        <w:rPr>
          <w:rFonts w:ascii="Arial" w:eastAsia="Arial" w:hAnsi="Arial" w:cs="Arial"/>
        </w:rPr>
        <w:t>Lavell</w:t>
      </w:r>
      <w:proofErr w:type="spellEnd"/>
      <w:r>
        <w:rPr>
          <w:rFonts w:ascii="Arial" w:eastAsia="Arial" w:hAnsi="Arial" w:cs="Arial"/>
        </w:rPr>
        <w:t>, 2000). Mientras que la crisis se caracteriza por un colapso estructural prolongado, la emergencia busca manejar dicho colapso con acciones rápidas y específicas (</w:t>
      </w:r>
      <w:proofErr w:type="spellStart"/>
      <w:r>
        <w:rPr>
          <w:rFonts w:ascii="Arial" w:eastAsia="Arial" w:hAnsi="Arial" w:cs="Arial"/>
        </w:rPr>
        <w:t>Lavell</w:t>
      </w:r>
      <w:proofErr w:type="spellEnd"/>
      <w:r>
        <w:rPr>
          <w:rFonts w:ascii="Arial" w:eastAsia="Arial" w:hAnsi="Arial" w:cs="Arial"/>
        </w:rPr>
        <w:t>, 2000).</w:t>
      </w:r>
    </w:p>
    <w:p w14:paraId="26B8641D" w14:textId="77777777" w:rsidR="001775FF" w:rsidRDefault="00000000">
      <w:pPr>
        <w:spacing w:after="160" w:line="360" w:lineRule="auto"/>
        <w:jc w:val="both"/>
        <w:rPr>
          <w:rFonts w:ascii="Arial" w:eastAsia="Arial" w:hAnsi="Arial" w:cs="Arial"/>
        </w:rPr>
      </w:pPr>
      <w:r>
        <w:rPr>
          <w:rFonts w:ascii="Arial" w:eastAsia="Arial" w:hAnsi="Arial" w:cs="Arial"/>
        </w:rPr>
        <w:t>La prestación del servicio educativo durante fenómenos emergentes requiere contemplar vulnerabilidad y amenazas. La vulnerabilidad, inherente a la comunidad, puede ser física, económica, política o social, lo que la hace propensa a efectos adversos (</w:t>
      </w:r>
      <w:proofErr w:type="spellStart"/>
      <w:r>
        <w:rPr>
          <w:rFonts w:ascii="Arial" w:eastAsia="Arial" w:hAnsi="Arial" w:cs="Arial"/>
        </w:rPr>
        <w:t>Lavell</w:t>
      </w:r>
      <w:proofErr w:type="spellEnd"/>
      <w:r>
        <w:rPr>
          <w:rFonts w:ascii="Arial" w:eastAsia="Arial" w:hAnsi="Arial" w:cs="Arial"/>
        </w:rPr>
        <w:t>, 2000). Las amenazas, clasificadas como naturales, pseudo-naturales y antropogénicas, combinadas generan riesgos complejos. Cuando las condiciones de vulnerabilidad coinciden con amenazas, una sociedad con alta vulnerabilidad enfrenta mayor riesgo de desastre, incluso ante amenazas no extremas (</w:t>
      </w:r>
      <w:proofErr w:type="spellStart"/>
      <w:r>
        <w:rPr>
          <w:rFonts w:ascii="Arial" w:eastAsia="Arial" w:hAnsi="Arial" w:cs="Arial"/>
        </w:rPr>
        <w:t>Lavell</w:t>
      </w:r>
      <w:proofErr w:type="spellEnd"/>
      <w:r>
        <w:rPr>
          <w:rFonts w:ascii="Arial" w:eastAsia="Arial" w:hAnsi="Arial" w:cs="Arial"/>
        </w:rPr>
        <w:t>, 2000). La gestión del riesgo implica implementar acciones inmediatas para garantizar atención oportuna y minimizar efectos adversos, basándose en recursos disponibles y decisiones ágiles (</w:t>
      </w:r>
      <w:proofErr w:type="spellStart"/>
      <w:r>
        <w:rPr>
          <w:rFonts w:ascii="Arial" w:eastAsia="Arial" w:hAnsi="Arial" w:cs="Arial"/>
        </w:rPr>
        <w:t>Lavell</w:t>
      </w:r>
      <w:proofErr w:type="spellEnd"/>
      <w:r>
        <w:rPr>
          <w:rFonts w:ascii="Arial" w:eastAsia="Arial" w:hAnsi="Arial" w:cs="Arial"/>
        </w:rPr>
        <w:t>, 2000).</w:t>
      </w:r>
    </w:p>
    <w:p w14:paraId="0AE584CE" w14:textId="77777777" w:rsidR="001775FF" w:rsidRDefault="00000000">
      <w:pPr>
        <w:spacing w:after="160" w:line="360" w:lineRule="auto"/>
        <w:jc w:val="both"/>
        <w:rPr>
          <w:rFonts w:ascii="Arial" w:eastAsia="Arial" w:hAnsi="Arial" w:cs="Arial"/>
        </w:rPr>
      </w:pPr>
      <w:bookmarkStart w:id="1" w:name="_heading=h.30j0zll" w:colFirst="0" w:colLast="0"/>
      <w:bookmarkEnd w:id="1"/>
      <w:r>
        <w:rPr>
          <w:rFonts w:ascii="Arial" w:eastAsia="Arial" w:hAnsi="Arial" w:cs="Arial"/>
        </w:rPr>
        <w:t xml:space="preserve">En el ámbito educativo, esta respuesta inmediata se conoce como estrategias educativas de emergencia, que buscan continuar la prestación del servicio y mitigar efectos negativos en el desarrollo académico, además fomentar adaptación y resiliencia (Vargas, 2020). Para analizar estas estrategias, es necesario un enfoque </w:t>
      </w:r>
      <w:r>
        <w:rPr>
          <w:rFonts w:ascii="Arial" w:eastAsia="Arial" w:hAnsi="Arial" w:cs="Arial"/>
        </w:rPr>
        <w:lastRenderedPageBreak/>
        <w:t>holístico, donde la teoría de la acción comunicativa de Habermas (1984) ofrece una perspectiva que une la razón instrumental con la razón comunicativa, promoviendo diálogo y consenso. Habermas (1984) critica la reducción de la racionalidad a fines instrumentales, abogando por la acción comunicativa que favorece la transparencia y la cooperación.</w:t>
      </w:r>
    </w:p>
    <w:p w14:paraId="22248544" w14:textId="77777777" w:rsidR="001775FF" w:rsidRDefault="00000000">
      <w:pPr>
        <w:spacing w:after="160" w:line="360" w:lineRule="auto"/>
        <w:jc w:val="both"/>
        <w:rPr>
          <w:rFonts w:ascii="Arial" w:eastAsia="Arial" w:hAnsi="Arial" w:cs="Arial"/>
        </w:rPr>
      </w:pPr>
      <w:r>
        <w:rPr>
          <w:rFonts w:ascii="Arial" w:eastAsia="Arial" w:hAnsi="Arial" w:cs="Arial"/>
        </w:rPr>
        <w:t>En el contexto educativo durante emergencias, esta teoría sugiere que las estrategias deben considerar diversas perspectivas y necesidades, y ofrece herramientas para la resolución de conflictos mediante el diálogo, permitiendo evaluar el manejo de desacuerdos. En consecuencia, la teoría de la acción comunicativa se presenta como un enfoque para analizar la gestión de la comunicación en emergencias educativas y mejorar la participación y legitimidad de las decisiones.</w:t>
      </w:r>
    </w:p>
    <w:p w14:paraId="6E193E8B" w14:textId="77777777" w:rsidR="001775FF" w:rsidRDefault="00000000">
      <w:pPr>
        <w:spacing w:after="160" w:line="360" w:lineRule="auto"/>
        <w:jc w:val="both"/>
        <w:rPr>
          <w:rFonts w:ascii="Arial" w:eastAsia="Arial" w:hAnsi="Arial" w:cs="Arial"/>
        </w:rPr>
      </w:pPr>
      <w:r>
        <w:rPr>
          <w:rFonts w:ascii="Arial" w:eastAsia="Arial" w:hAnsi="Arial" w:cs="Arial"/>
        </w:rPr>
        <w:t xml:space="preserve">El presente estudio se ubica en el año 2020, en Colombia y Argentina cuando la pandemia de COVID-19 provocó la declaración de estados de emergencia, acompañados de cuarentenas para frenar la propagación del virus y prevenir la saturación de los sistemas de salud. </w:t>
      </w:r>
    </w:p>
    <w:p w14:paraId="59814737" w14:textId="77777777" w:rsidR="001775FF" w:rsidRDefault="00000000">
      <w:pPr>
        <w:spacing w:after="160" w:line="360" w:lineRule="auto"/>
        <w:jc w:val="both"/>
        <w:rPr>
          <w:rFonts w:ascii="Arial" w:eastAsia="Arial" w:hAnsi="Arial" w:cs="Arial"/>
        </w:rPr>
      </w:pPr>
      <w:bookmarkStart w:id="2" w:name="_heading=h.1fob9te" w:colFirst="0" w:colLast="0"/>
      <w:bookmarkEnd w:id="2"/>
      <w:r>
        <w:rPr>
          <w:rFonts w:ascii="Arial" w:eastAsia="Arial" w:hAnsi="Arial" w:cs="Arial"/>
        </w:rPr>
        <w:t>Durante el confinamiento, las instituciones enfrentaron el desafío de continuar las clases a través de métodos no convencionales, utilizando recursos para ofrecer educación no presencial (</w:t>
      </w:r>
      <w:proofErr w:type="spellStart"/>
      <w:r>
        <w:rPr>
          <w:rFonts w:ascii="Arial" w:eastAsia="Arial" w:hAnsi="Arial" w:cs="Arial"/>
        </w:rPr>
        <w:t>Niemczyk</w:t>
      </w:r>
      <w:proofErr w:type="spellEnd"/>
      <w:r>
        <w:rPr>
          <w:rFonts w:ascii="Arial" w:eastAsia="Arial" w:hAnsi="Arial" w:cs="Arial"/>
        </w:rPr>
        <w:t xml:space="preserve"> et al., 2021; Hernández-Vicente, 2022). La implementación de herramientas tecnológicas y el acceso equitativo a recursos variaron según el contexto, intensificando las brechas educativas en entornos desfavorecidos (</w:t>
      </w:r>
      <w:proofErr w:type="spellStart"/>
      <w:r>
        <w:rPr>
          <w:rFonts w:ascii="Arial" w:eastAsia="Arial" w:hAnsi="Arial" w:cs="Arial"/>
        </w:rPr>
        <w:t>Anokhin</w:t>
      </w:r>
      <w:proofErr w:type="spellEnd"/>
      <w:r>
        <w:rPr>
          <w:rFonts w:ascii="Arial" w:eastAsia="Arial" w:hAnsi="Arial" w:cs="Arial"/>
        </w:rPr>
        <w:t xml:space="preserve"> et al., 2021; </w:t>
      </w:r>
      <w:proofErr w:type="spellStart"/>
      <w:r>
        <w:rPr>
          <w:rFonts w:ascii="Arial" w:eastAsia="Arial" w:hAnsi="Arial" w:cs="Arial"/>
        </w:rPr>
        <w:t>Mkhize</w:t>
      </w:r>
      <w:proofErr w:type="spellEnd"/>
      <w:r>
        <w:rPr>
          <w:rFonts w:ascii="Arial" w:eastAsia="Arial" w:hAnsi="Arial" w:cs="Arial"/>
        </w:rPr>
        <w:t xml:space="preserve"> &amp; Davids, 2023; González-</w:t>
      </w:r>
      <w:proofErr w:type="spellStart"/>
      <w:r>
        <w:rPr>
          <w:rFonts w:ascii="Arial" w:eastAsia="Arial" w:hAnsi="Arial" w:cs="Arial"/>
        </w:rPr>
        <w:t>Such</w:t>
      </w:r>
      <w:proofErr w:type="spellEnd"/>
      <w:r>
        <w:rPr>
          <w:rFonts w:ascii="Arial" w:eastAsia="Arial" w:hAnsi="Arial" w:cs="Arial"/>
        </w:rPr>
        <w:t xml:space="preserve"> et al., 2021; </w:t>
      </w:r>
      <w:proofErr w:type="spellStart"/>
      <w:r>
        <w:rPr>
          <w:rFonts w:ascii="Arial" w:eastAsia="Arial" w:hAnsi="Arial" w:cs="Arial"/>
        </w:rPr>
        <w:t>Hordatt</w:t>
      </w:r>
      <w:proofErr w:type="spellEnd"/>
      <w:r>
        <w:rPr>
          <w:rFonts w:ascii="Arial" w:eastAsia="Arial" w:hAnsi="Arial" w:cs="Arial"/>
        </w:rPr>
        <w:t xml:space="preserve"> et al., 2021; García-Zabaleta et al., 2021).</w:t>
      </w:r>
    </w:p>
    <w:p w14:paraId="4F95F866" w14:textId="77777777" w:rsidR="001775FF" w:rsidRDefault="00000000">
      <w:pPr>
        <w:spacing w:after="160" w:line="360" w:lineRule="auto"/>
        <w:jc w:val="both"/>
        <w:rPr>
          <w:rFonts w:ascii="Arial" w:eastAsia="Arial" w:hAnsi="Arial" w:cs="Arial"/>
        </w:rPr>
      </w:pPr>
      <w:r>
        <w:rPr>
          <w:rFonts w:ascii="Arial" w:eastAsia="Arial" w:hAnsi="Arial" w:cs="Arial"/>
        </w:rPr>
        <w:t xml:space="preserve">Al reconocer la educación como un pilar fundamental para el desarrollo humano y social, y su relación con el bienestar de millones de personas. Se valida la importancia de analizar las estrategias educativas implementadas en Colombia y Argentina durante la pandemia para identificar lecciones aprendidas y ofrecer un marco de referencia para futuras intervenciones en emergencia. Además, al integrar la teoría de la acción comunicativa de Habermas, este estudio resalta la importancia del diálogo y la cooperación en la formulación de respuestas educativas, </w:t>
      </w:r>
      <w:r>
        <w:rPr>
          <w:rFonts w:ascii="Arial" w:eastAsia="Arial" w:hAnsi="Arial" w:cs="Arial"/>
        </w:rPr>
        <w:lastRenderedPageBreak/>
        <w:t>contribuyendo así a optimizar la prestación del servicio educativo y fortalecer la resiliencia comunitaria ante posibles emergencias.</w:t>
      </w:r>
    </w:p>
    <w:p w14:paraId="47673EB7" w14:textId="77777777" w:rsidR="001775FF" w:rsidRDefault="00000000">
      <w:pPr>
        <w:spacing w:after="160" w:line="360" w:lineRule="auto"/>
        <w:jc w:val="both"/>
        <w:rPr>
          <w:rFonts w:ascii="Arial" w:eastAsia="Arial" w:hAnsi="Arial" w:cs="Arial"/>
          <w:b/>
        </w:rPr>
      </w:pPr>
      <w:r>
        <w:rPr>
          <w:rFonts w:ascii="Arial" w:eastAsia="Arial" w:hAnsi="Arial" w:cs="Arial"/>
          <w:b/>
        </w:rPr>
        <w:t>Metodología</w:t>
      </w:r>
    </w:p>
    <w:p w14:paraId="5EDDCE44" w14:textId="77777777" w:rsidR="001775FF" w:rsidRDefault="00000000" w:rsidP="00DB5D88">
      <w:pPr>
        <w:spacing w:after="160" w:line="360" w:lineRule="auto"/>
        <w:ind w:firstLine="720"/>
        <w:jc w:val="both"/>
        <w:rPr>
          <w:rFonts w:ascii="Arial" w:eastAsia="Arial" w:hAnsi="Arial" w:cs="Arial"/>
        </w:rPr>
      </w:pPr>
      <w:r>
        <w:rPr>
          <w:rFonts w:ascii="Arial" w:eastAsia="Arial" w:hAnsi="Arial" w:cs="Arial"/>
        </w:rPr>
        <w:t xml:space="preserve">Se presenta una revisión integrativa que retoma la evidencia existente sobre las estrategias educativas en Colombia y Argentina durante la emergencia sanitaria. Este diseño integra diferentes tipos de documentos. Proporcionando una visión amplia que incluye lo teórico con lo práctico. Pertinente para el análisis holístico de la prestación del servicio educativo en escenarios de emergencia. </w:t>
      </w:r>
    </w:p>
    <w:p w14:paraId="7E3EF418" w14:textId="77777777" w:rsidR="001775FF" w:rsidRDefault="00000000">
      <w:pPr>
        <w:spacing w:line="360" w:lineRule="auto"/>
        <w:rPr>
          <w:rFonts w:ascii="Arial" w:eastAsia="Arial" w:hAnsi="Arial" w:cs="Arial"/>
          <w:b/>
        </w:rPr>
      </w:pPr>
      <w:r>
        <w:rPr>
          <w:rFonts w:ascii="Arial" w:eastAsia="Arial" w:hAnsi="Arial" w:cs="Arial"/>
          <w:b/>
        </w:rPr>
        <w:t>Objetivo General</w:t>
      </w:r>
    </w:p>
    <w:p w14:paraId="5027446A" w14:textId="77777777" w:rsidR="001775FF" w:rsidRDefault="00000000">
      <w:pPr>
        <w:spacing w:line="360" w:lineRule="auto"/>
        <w:jc w:val="both"/>
        <w:rPr>
          <w:rFonts w:ascii="Arial" w:eastAsia="Arial" w:hAnsi="Arial" w:cs="Arial"/>
        </w:rPr>
      </w:pPr>
      <w:r>
        <w:rPr>
          <w:rFonts w:ascii="Arial" w:eastAsia="Arial" w:hAnsi="Arial" w:cs="Arial"/>
        </w:rPr>
        <w:t xml:space="preserve">Analizar las estrategias educativas implementadas durante la emergencia sanitaria en Colombia y Argentina, identificando las lecciones aprendidas y recomendaciones para la prestación del servicio educativo en eventuales escenarios de emergencia. </w:t>
      </w:r>
    </w:p>
    <w:p w14:paraId="0D786E8D" w14:textId="77777777" w:rsidR="001775FF" w:rsidRDefault="001775FF">
      <w:pPr>
        <w:spacing w:line="360" w:lineRule="auto"/>
        <w:rPr>
          <w:rFonts w:ascii="Arial" w:eastAsia="Arial" w:hAnsi="Arial" w:cs="Arial"/>
          <w:b/>
        </w:rPr>
      </w:pPr>
    </w:p>
    <w:p w14:paraId="6035DB1B" w14:textId="77777777" w:rsidR="001775FF" w:rsidRDefault="00000000">
      <w:pPr>
        <w:spacing w:line="360" w:lineRule="auto"/>
        <w:rPr>
          <w:rFonts w:ascii="Arial" w:eastAsia="Arial" w:hAnsi="Arial" w:cs="Arial"/>
          <w:b/>
        </w:rPr>
      </w:pPr>
      <w:r>
        <w:rPr>
          <w:rFonts w:ascii="Arial" w:eastAsia="Arial" w:hAnsi="Arial" w:cs="Arial"/>
          <w:b/>
        </w:rPr>
        <w:t>Objetivos Específicos</w:t>
      </w:r>
    </w:p>
    <w:p w14:paraId="0D238A61" w14:textId="77777777" w:rsidR="001775FF" w:rsidRDefault="00000000">
      <w:pPr>
        <w:numPr>
          <w:ilvl w:val="0"/>
          <w:numId w:val="1"/>
        </w:numPr>
        <w:spacing w:line="360" w:lineRule="auto"/>
        <w:jc w:val="both"/>
        <w:rPr>
          <w:rFonts w:ascii="Arial" w:eastAsia="Arial" w:hAnsi="Arial" w:cs="Arial"/>
        </w:rPr>
      </w:pPr>
      <w:r>
        <w:rPr>
          <w:rFonts w:ascii="Arial" w:eastAsia="Arial" w:hAnsi="Arial" w:cs="Arial"/>
        </w:rPr>
        <w:t>Analizar las estrategias educativas implementadas en Colombia y Argentina durante la emergencia sanitaria, con énfasis en las desigualdades educativas, incluidas las brechas digitales, en diversos contextos.</w:t>
      </w:r>
    </w:p>
    <w:p w14:paraId="27807079" w14:textId="77777777" w:rsidR="001775FF" w:rsidRDefault="00000000">
      <w:pPr>
        <w:numPr>
          <w:ilvl w:val="0"/>
          <w:numId w:val="1"/>
        </w:numPr>
        <w:spacing w:line="360" w:lineRule="auto"/>
        <w:jc w:val="both"/>
        <w:rPr>
          <w:rFonts w:ascii="Arial" w:eastAsia="Arial" w:hAnsi="Arial" w:cs="Arial"/>
          <w:b/>
        </w:rPr>
      </w:pPr>
      <w:r>
        <w:rPr>
          <w:rFonts w:ascii="Arial" w:eastAsia="Arial" w:hAnsi="Arial" w:cs="Arial"/>
        </w:rPr>
        <w:t>Comparar las medidas adoptadas en Colombia y Argentina para gestionar la emergencia sanitaria en el ámbito educativo.</w:t>
      </w:r>
    </w:p>
    <w:p w14:paraId="0567A582" w14:textId="77777777" w:rsidR="001775FF" w:rsidRDefault="00000000">
      <w:pPr>
        <w:numPr>
          <w:ilvl w:val="0"/>
          <w:numId w:val="1"/>
        </w:numPr>
        <w:spacing w:line="360" w:lineRule="auto"/>
        <w:jc w:val="both"/>
        <w:rPr>
          <w:rFonts w:ascii="Arial" w:eastAsia="Arial" w:hAnsi="Arial" w:cs="Arial"/>
        </w:rPr>
      </w:pPr>
      <w:r>
        <w:rPr>
          <w:rFonts w:ascii="Arial" w:eastAsia="Arial" w:hAnsi="Arial" w:cs="Arial"/>
        </w:rPr>
        <w:t>Identificar lecciones aprendidas de las estrategias educativas de emergencia implementadas en Colombia y Argentina, y recomendaciones para futuras políticas y prácticas que promuevan la equidad en contextos de emergencia.</w:t>
      </w:r>
    </w:p>
    <w:p w14:paraId="74450DA4" w14:textId="77777777" w:rsidR="001775FF" w:rsidRDefault="001775FF">
      <w:pPr>
        <w:spacing w:line="360" w:lineRule="auto"/>
        <w:rPr>
          <w:rFonts w:ascii="Arial" w:eastAsia="Arial" w:hAnsi="Arial" w:cs="Arial"/>
          <w:b/>
        </w:rPr>
      </w:pPr>
    </w:p>
    <w:p w14:paraId="18294D3C" w14:textId="77777777" w:rsidR="001775FF" w:rsidRDefault="00000000">
      <w:pPr>
        <w:spacing w:line="360" w:lineRule="auto"/>
        <w:jc w:val="both"/>
        <w:rPr>
          <w:rFonts w:ascii="Arial" w:eastAsia="Arial" w:hAnsi="Arial" w:cs="Arial"/>
          <w:b/>
        </w:rPr>
      </w:pPr>
      <w:r>
        <w:rPr>
          <w:rFonts w:ascii="Arial" w:eastAsia="Arial" w:hAnsi="Arial" w:cs="Arial"/>
          <w:b/>
        </w:rPr>
        <w:t>Pregunta de Investigación</w:t>
      </w:r>
    </w:p>
    <w:p w14:paraId="0384A5A2" w14:textId="77777777" w:rsidR="001775FF" w:rsidRDefault="00000000">
      <w:pPr>
        <w:spacing w:line="360" w:lineRule="auto"/>
        <w:jc w:val="both"/>
        <w:rPr>
          <w:rFonts w:ascii="Arial" w:eastAsia="Arial" w:hAnsi="Arial" w:cs="Arial"/>
        </w:rPr>
      </w:pPr>
      <w:r>
        <w:rPr>
          <w:rFonts w:ascii="Arial" w:eastAsia="Arial" w:hAnsi="Arial" w:cs="Arial"/>
        </w:rPr>
        <w:t xml:space="preserve">Se utilizó la herramienta (PICO). Denominada así por sus siglas (POPULATION, INTERVENTION, COMPARISION, OUTCOME). La cual permitió una estructura lógica para la creación del patrón de búsqueda y selección de objetiva de los estudios. </w:t>
      </w:r>
    </w:p>
    <w:p w14:paraId="12D2D91F" w14:textId="77777777" w:rsidR="001775FF" w:rsidRDefault="001775FF">
      <w:pPr>
        <w:spacing w:line="360" w:lineRule="auto"/>
        <w:jc w:val="both"/>
        <w:rPr>
          <w:rFonts w:ascii="Arial" w:eastAsia="Arial" w:hAnsi="Arial" w:cs="Arial"/>
        </w:rPr>
      </w:pPr>
    </w:p>
    <w:p w14:paraId="3DE0469D" w14:textId="77777777" w:rsidR="001775FF" w:rsidRDefault="00000000">
      <w:pPr>
        <w:spacing w:line="360" w:lineRule="auto"/>
        <w:jc w:val="both"/>
        <w:rPr>
          <w:rFonts w:ascii="Arial" w:eastAsia="Arial" w:hAnsi="Arial" w:cs="Arial"/>
        </w:rPr>
      </w:pPr>
      <w:r>
        <w:rPr>
          <w:rFonts w:ascii="Arial" w:eastAsia="Arial" w:hAnsi="Arial" w:cs="Arial"/>
        </w:rPr>
        <w:lastRenderedPageBreak/>
        <w:t>Con el análisis de la problemática surge la pregunta de investigación: ¿Qué estrategias educativas de emergencia se implementaron en Colombia y Argentina durante la pandemia y qué lecciones pueden derivarse de estas experiencias para formular recomendaciones que aporten a la equidad en la prestación del servicio educativo en eventuales escenarios de emergencia?</w:t>
      </w:r>
    </w:p>
    <w:p w14:paraId="6001D265" w14:textId="77777777" w:rsidR="001775FF" w:rsidRDefault="001775FF">
      <w:pPr>
        <w:spacing w:line="360" w:lineRule="auto"/>
        <w:jc w:val="both"/>
        <w:rPr>
          <w:rFonts w:ascii="Arial" w:eastAsia="Arial" w:hAnsi="Arial" w:cs="Arial"/>
        </w:rPr>
      </w:pPr>
    </w:p>
    <w:p w14:paraId="40F152F8" w14:textId="77777777" w:rsidR="001775FF" w:rsidRDefault="00000000">
      <w:pPr>
        <w:spacing w:line="360" w:lineRule="auto"/>
        <w:jc w:val="both"/>
        <w:rPr>
          <w:rFonts w:ascii="Arial" w:eastAsia="Arial" w:hAnsi="Arial" w:cs="Arial"/>
        </w:rPr>
      </w:pPr>
      <w:r>
        <w:rPr>
          <w:rFonts w:ascii="Arial" w:eastAsia="Arial" w:hAnsi="Arial" w:cs="Arial"/>
        </w:rPr>
        <w:t xml:space="preserve">Una vez la pregunta de investigación fue formulada se inició la búsqueda bibliográfica en bases datos y paginas gubernamentales. Para este proceso se emplearon los siguientes temimos, descriptores y operadores boléanos; </w:t>
      </w:r>
    </w:p>
    <w:p w14:paraId="0508CB9D" w14:textId="77777777" w:rsidR="001775FF" w:rsidRDefault="001775FF">
      <w:pPr>
        <w:spacing w:line="360" w:lineRule="auto"/>
        <w:jc w:val="both"/>
        <w:rPr>
          <w:rFonts w:ascii="Arial" w:eastAsia="Arial" w:hAnsi="Arial" w:cs="Arial"/>
        </w:rPr>
      </w:pPr>
    </w:p>
    <w:p w14:paraId="3D77FF81" w14:textId="77777777" w:rsidR="001775FF" w:rsidRPr="00DB5D88" w:rsidRDefault="00000000">
      <w:pPr>
        <w:spacing w:line="360" w:lineRule="auto"/>
        <w:jc w:val="both"/>
        <w:rPr>
          <w:rFonts w:ascii="Arial" w:eastAsia="Arial" w:hAnsi="Arial" w:cs="Arial"/>
          <w:lang w:val="en-US"/>
        </w:rPr>
      </w:pPr>
      <w:r w:rsidRPr="00DB5D88">
        <w:rPr>
          <w:rFonts w:ascii="Arial" w:eastAsia="Arial" w:hAnsi="Arial" w:cs="Arial"/>
          <w:lang w:val="en-US"/>
        </w:rPr>
        <w:t xml:space="preserve">"Emergency education" OR "education in emergencies" OR "pedagogical strategies" OR "virtual learning environments" OR "remote learning" OR "COVID-19" OR "pandemic education" OR "learning inequalities" OR "educational inequalities" OR "COVID-19 impact" OR "educational segregation" OR "dropout" OR "learning losses") AND ("Colombia" OR "Argentina") AND ("systematic review" OR "systematic review of literature" OR "review of literature"). </w:t>
      </w:r>
    </w:p>
    <w:p w14:paraId="3F91DDEA" w14:textId="77777777" w:rsidR="001775FF" w:rsidRPr="00DB5D88" w:rsidRDefault="001775FF">
      <w:pPr>
        <w:spacing w:line="360" w:lineRule="auto"/>
        <w:jc w:val="both"/>
        <w:rPr>
          <w:rFonts w:ascii="Arial" w:eastAsia="Arial" w:hAnsi="Arial" w:cs="Arial"/>
          <w:lang w:val="en-US"/>
        </w:rPr>
      </w:pPr>
    </w:p>
    <w:p w14:paraId="59FB42FB" w14:textId="77777777" w:rsidR="001775FF" w:rsidRDefault="00000000">
      <w:pPr>
        <w:spacing w:line="360" w:lineRule="auto"/>
        <w:jc w:val="both"/>
        <w:rPr>
          <w:rFonts w:ascii="Arial" w:eastAsia="Arial" w:hAnsi="Arial" w:cs="Arial"/>
          <w:b/>
        </w:rPr>
      </w:pPr>
      <w:r>
        <w:rPr>
          <w:rFonts w:ascii="Arial" w:eastAsia="Arial" w:hAnsi="Arial" w:cs="Arial"/>
          <w:b/>
        </w:rPr>
        <w:t>Criterios de Inclusión y Exclusión:</w:t>
      </w:r>
    </w:p>
    <w:p w14:paraId="17458362" w14:textId="77777777" w:rsidR="001775FF" w:rsidRDefault="00000000">
      <w:pPr>
        <w:spacing w:line="360" w:lineRule="auto"/>
        <w:jc w:val="both"/>
        <w:rPr>
          <w:rFonts w:ascii="Arial" w:eastAsia="Arial" w:hAnsi="Arial" w:cs="Arial"/>
        </w:rPr>
      </w:pPr>
      <w:r>
        <w:rPr>
          <w:rFonts w:ascii="Arial" w:eastAsia="Arial" w:hAnsi="Arial" w:cs="Arial"/>
        </w:rPr>
        <w:t xml:space="preserve">Para garantizar la calidad y validez de la revisión documental, se emplearon los criterios PICO. Los cuales son detallados a continuación: </w:t>
      </w:r>
    </w:p>
    <w:p w14:paraId="60CE052A" w14:textId="77777777" w:rsidR="001775FF" w:rsidRDefault="00000000">
      <w:pPr>
        <w:spacing w:line="360" w:lineRule="auto"/>
        <w:jc w:val="both"/>
        <w:rPr>
          <w:rFonts w:ascii="Arial" w:eastAsia="Arial" w:hAnsi="Arial" w:cs="Arial"/>
        </w:rPr>
      </w:pPr>
      <w:r>
        <w:rPr>
          <w:rFonts w:ascii="Arial" w:eastAsia="Arial" w:hAnsi="Arial" w:cs="Arial"/>
          <w:b/>
        </w:rPr>
        <w:t>Tipo de documento:</w:t>
      </w:r>
      <w:r>
        <w:rPr>
          <w:rFonts w:ascii="Arial" w:eastAsia="Arial" w:hAnsi="Arial" w:cs="Arial"/>
        </w:rPr>
        <w:t xml:space="preserve"> Estudios revisados por pares, normativas oficiales y fuentes académicas publicadas, excluyendo tesis no publicadas.</w:t>
      </w:r>
    </w:p>
    <w:p w14:paraId="5AA90FCC" w14:textId="77777777" w:rsidR="001775FF" w:rsidRDefault="001775FF">
      <w:pPr>
        <w:spacing w:line="360" w:lineRule="auto"/>
        <w:jc w:val="both"/>
        <w:rPr>
          <w:rFonts w:ascii="Arial" w:eastAsia="Arial" w:hAnsi="Arial" w:cs="Arial"/>
        </w:rPr>
      </w:pPr>
    </w:p>
    <w:p w14:paraId="22CFE266" w14:textId="77777777" w:rsidR="001775FF" w:rsidRDefault="00000000">
      <w:pPr>
        <w:spacing w:line="360" w:lineRule="auto"/>
        <w:jc w:val="both"/>
        <w:rPr>
          <w:rFonts w:ascii="Arial" w:eastAsia="Arial" w:hAnsi="Arial" w:cs="Arial"/>
        </w:rPr>
      </w:pPr>
      <w:r>
        <w:rPr>
          <w:rFonts w:ascii="Arial" w:eastAsia="Arial" w:hAnsi="Arial" w:cs="Arial"/>
          <w:b/>
        </w:rPr>
        <w:t>Población:</w:t>
      </w:r>
      <w:r>
        <w:rPr>
          <w:rFonts w:ascii="Arial" w:eastAsia="Arial" w:hAnsi="Arial" w:cs="Arial"/>
        </w:rPr>
        <w:t xml:space="preserve"> Instituciones educativas de primaria y bachillerato durante la pandemia, excluyendo otros grupos poblacionales.</w:t>
      </w:r>
    </w:p>
    <w:p w14:paraId="1C2D1C01" w14:textId="77777777" w:rsidR="001775FF" w:rsidRDefault="001775FF">
      <w:pPr>
        <w:spacing w:line="360" w:lineRule="auto"/>
        <w:jc w:val="both"/>
        <w:rPr>
          <w:rFonts w:ascii="Arial" w:eastAsia="Arial" w:hAnsi="Arial" w:cs="Arial"/>
        </w:rPr>
      </w:pPr>
    </w:p>
    <w:p w14:paraId="099807A4" w14:textId="77777777" w:rsidR="001775FF" w:rsidRDefault="00000000">
      <w:pPr>
        <w:spacing w:line="360" w:lineRule="auto"/>
        <w:jc w:val="both"/>
        <w:rPr>
          <w:rFonts w:ascii="Arial" w:eastAsia="Arial" w:hAnsi="Arial" w:cs="Arial"/>
        </w:rPr>
      </w:pPr>
      <w:r>
        <w:rPr>
          <w:rFonts w:ascii="Arial" w:eastAsia="Arial" w:hAnsi="Arial" w:cs="Arial"/>
          <w:b/>
        </w:rPr>
        <w:t>Intervención:</w:t>
      </w:r>
      <w:r>
        <w:rPr>
          <w:rFonts w:ascii="Arial" w:eastAsia="Arial" w:hAnsi="Arial" w:cs="Arial"/>
        </w:rPr>
        <w:t xml:space="preserve"> Estrategias educativas de emergencia implementadas en respuesta a la pandemia, descartando estudios que no abordaran este tema.</w:t>
      </w:r>
    </w:p>
    <w:p w14:paraId="2869D7AD" w14:textId="77777777" w:rsidR="001775FF" w:rsidRDefault="001775FF">
      <w:pPr>
        <w:spacing w:line="360" w:lineRule="auto"/>
        <w:jc w:val="both"/>
        <w:rPr>
          <w:rFonts w:ascii="Arial" w:eastAsia="Arial" w:hAnsi="Arial" w:cs="Arial"/>
        </w:rPr>
      </w:pPr>
    </w:p>
    <w:p w14:paraId="7F83CB0E" w14:textId="77777777" w:rsidR="001775FF" w:rsidRDefault="00000000">
      <w:pPr>
        <w:spacing w:line="360" w:lineRule="auto"/>
        <w:jc w:val="both"/>
        <w:rPr>
          <w:rFonts w:ascii="Arial" w:eastAsia="Arial" w:hAnsi="Arial" w:cs="Arial"/>
        </w:rPr>
      </w:pPr>
      <w:r>
        <w:rPr>
          <w:rFonts w:ascii="Arial" w:eastAsia="Arial" w:hAnsi="Arial" w:cs="Arial"/>
          <w:b/>
        </w:rPr>
        <w:lastRenderedPageBreak/>
        <w:t>Comparación</w:t>
      </w:r>
      <w:r>
        <w:rPr>
          <w:rFonts w:ascii="Arial" w:eastAsia="Arial" w:hAnsi="Arial" w:cs="Arial"/>
        </w:rPr>
        <w:t>: Documentos que permitieran identificar barreras y brechas educativas en diversos contextos, excluyendo investigaciones que no contaran con información suficiente para realizar comparaciones.</w:t>
      </w:r>
    </w:p>
    <w:p w14:paraId="7E11D5AA" w14:textId="77777777" w:rsidR="001775FF" w:rsidRDefault="001775FF">
      <w:pPr>
        <w:spacing w:line="360" w:lineRule="auto"/>
        <w:jc w:val="both"/>
        <w:rPr>
          <w:rFonts w:ascii="Arial" w:eastAsia="Arial" w:hAnsi="Arial" w:cs="Arial"/>
        </w:rPr>
      </w:pPr>
    </w:p>
    <w:p w14:paraId="0D3EC516" w14:textId="77777777" w:rsidR="001775FF" w:rsidRDefault="00000000">
      <w:pPr>
        <w:spacing w:line="360" w:lineRule="auto"/>
        <w:jc w:val="both"/>
        <w:rPr>
          <w:rFonts w:ascii="Arial" w:eastAsia="Arial" w:hAnsi="Arial" w:cs="Arial"/>
        </w:rPr>
      </w:pPr>
      <w:r>
        <w:rPr>
          <w:rFonts w:ascii="Arial" w:eastAsia="Arial" w:hAnsi="Arial" w:cs="Arial"/>
          <w:b/>
        </w:rPr>
        <w:t>Resultados:</w:t>
      </w:r>
      <w:r>
        <w:rPr>
          <w:rFonts w:ascii="Arial" w:eastAsia="Arial" w:hAnsi="Arial" w:cs="Arial"/>
        </w:rPr>
        <w:t xml:space="preserve"> Aspectos como acceso a estrategias, impacto en brechas educativas y mitigación de desigualdades, excluyendo aquellos con resultados poco claros o específicos.</w:t>
      </w:r>
    </w:p>
    <w:p w14:paraId="3C1B86E1" w14:textId="77777777" w:rsidR="001775FF" w:rsidRDefault="001775FF">
      <w:pPr>
        <w:spacing w:line="360" w:lineRule="auto"/>
        <w:jc w:val="both"/>
        <w:rPr>
          <w:rFonts w:ascii="Arial" w:eastAsia="Arial" w:hAnsi="Arial" w:cs="Arial"/>
        </w:rPr>
      </w:pPr>
    </w:p>
    <w:p w14:paraId="07122DD3" w14:textId="77777777" w:rsidR="001775FF" w:rsidRDefault="00000000">
      <w:pPr>
        <w:spacing w:line="360" w:lineRule="auto"/>
        <w:jc w:val="both"/>
        <w:rPr>
          <w:rFonts w:ascii="Arial" w:eastAsia="Arial" w:hAnsi="Arial" w:cs="Arial"/>
        </w:rPr>
      </w:pPr>
      <w:r>
        <w:rPr>
          <w:rFonts w:ascii="Arial" w:eastAsia="Arial" w:hAnsi="Arial" w:cs="Arial"/>
        </w:rPr>
        <w:t xml:space="preserve">Este enfoque metodológico garantiza la pertinencia de las fuentes seleccionadas y su alineación con los objetivos del estudio. Además, permite identificar patrones en datos cualitativos de diversas fuentes e integrar distintos tipos de evidencia, proporcionando una visión integral del fenómeno. </w:t>
      </w:r>
    </w:p>
    <w:p w14:paraId="5F74A116" w14:textId="77777777" w:rsidR="001775FF" w:rsidRDefault="001775FF">
      <w:pPr>
        <w:spacing w:line="360" w:lineRule="auto"/>
        <w:jc w:val="both"/>
        <w:rPr>
          <w:rFonts w:ascii="Arial" w:eastAsia="Arial" w:hAnsi="Arial" w:cs="Arial"/>
        </w:rPr>
      </w:pPr>
    </w:p>
    <w:p w14:paraId="1854B3FE" w14:textId="77777777" w:rsidR="001775FF" w:rsidRDefault="00000000">
      <w:pPr>
        <w:spacing w:line="360" w:lineRule="auto"/>
        <w:jc w:val="both"/>
        <w:rPr>
          <w:rFonts w:ascii="Arial" w:eastAsia="Arial" w:hAnsi="Arial" w:cs="Arial"/>
          <w:b/>
        </w:rPr>
      </w:pPr>
      <w:r>
        <w:rPr>
          <w:rFonts w:ascii="Arial" w:eastAsia="Arial" w:hAnsi="Arial" w:cs="Arial"/>
          <w:b/>
        </w:rPr>
        <w:t>Cribado de Resultados</w:t>
      </w:r>
    </w:p>
    <w:p w14:paraId="0489D970" w14:textId="77777777" w:rsidR="001775FF" w:rsidRDefault="00000000">
      <w:pPr>
        <w:spacing w:line="360" w:lineRule="auto"/>
        <w:jc w:val="both"/>
        <w:rPr>
          <w:rFonts w:ascii="Arial" w:eastAsia="Arial" w:hAnsi="Arial" w:cs="Arial"/>
          <w:i/>
        </w:rPr>
      </w:pPr>
      <w:r>
        <w:rPr>
          <w:rFonts w:ascii="Arial" w:eastAsia="Arial" w:hAnsi="Arial" w:cs="Arial"/>
        </w:rPr>
        <w:t>A continuación, se presenta un diagrama de flujo que ilustra el proceso de selección final de los documentos.</w:t>
      </w:r>
    </w:p>
    <w:p w14:paraId="37676013" w14:textId="77777777" w:rsidR="001775FF" w:rsidRDefault="001775FF">
      <w:pPr>
        <w:spacing w:line="360" w:lineRule="auto"/>
        <w:jc w:val="both"/>
        <w:rPr>
          <w:rFonts w:ascii="Arial" w:eastAsia="Arial" w:hAnsi="Arial" w:cs="Arial"/>
          <w:b/>
        </w:rPr>
      </w:pPr>
    </w:p>
    <w:p w14:paraId="13DD9032" w14:textId="641BF598" w:rsidR="001775FF" w:rsidRDefault="00DB5D88">
      <w:pPr>
        <w:spacing w:line="360" w:lineRule="auto"/>
        <w:jc w:val="both"/>
        <w:rPr>
          <w:rFonts w:ascii="Arial" w:eastAsia="Arial" w:hAnsi="Arial" w:cs="Arial"/>
          <w:b/>
        </w:rPr>
      </w:pPr>
      <w:r>
        <w:rPr>
          <w:noProof/>
        </w:rPr>
        <w:drawing>
          <wp:anchor distT="0" distB="0" distL="114300" distR="114300" simplePos="0" relativeHeight="251667456" behindDoc="0" locked="0" layoutInCell="1" hidden="0" allowOverlap="1" wp14:anchorId="0E976395" wp14:editId="5103EFBB">
            <wp:simplePos x="0" y="0"/>
            <wp:positionH relativeFrom="column">
              <wp:posOffset>-281948</wp:posOffset>
            </wp:positionH>
            <wp:positionV relativeFrom="paragraph">
              <wp:posOffset>431100</wp:posOffset>
            </wp:positionV>
            <wp:extent cx="6233795" cy="3356610"/>
            <wp:effectExtent l="0" t="0" r="1905" b="0"/>
            <wp:wrapSquare wrapText="bothSides" distT="0" distB="0" distL="114300" distR="114300"/>
            <wp:docPr id="206016820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l="10029" r="4613"/>
                    <a:stretch>
                      <a:fillRect/>
                    </a:stretch>
                  </pic:blipFill>
                  <pic:spPr>
                    <a:xfrm>
                      <a:off x="0" y="0"/>
                      <a:ext cx="6233795" cy="3356610"/>
                    </a:xfrm>
                    <a:prstGeom prst="rect">
                      <a:avLst/>
                    </a:prstGeom>
                    <a:ln/>
                  </pic:spPr>
                </pic:pic>
              </a:graphicData>
            </a:graphic>
            <wp14:sizeRelH relativeFrom="margin">
              <wp14:pctWidth>0</wp14:pctWidth>
            </wp14:sizeRelH>
            <wp14:sizeRelV relativeFrom="margin">
              <wp14:pctHeight>0</wp14:pctHeight>
            </wp14:sizeRelV>
          </wp:anchor>
        </w:drawing>
      </w:r>
      <w:r w:rsidR="00000000">
        <w:rPr>
          <w:rFonts w:ascii="Arial" w:eastAsia="Arial" w:hAnsi="Arial" w:cs="Arial"/>
          <w:b/>
        </w:rPr>
        <w:t xml:space="preserve">Figura 1. </w:t>
      </w:r>
    </w:p>
    <w:p w14:paraId="108AF9C6" w14:textId="5502F156" w:rsidR="001775FF" w:rsidRDefault="00000000">
      <w:pPr>
        <w:spacing w:line="360" w:lineRule="auto"/>
        <w:jc w:val="both"/>
        <w:rPr>
          <w:rFonts w:ascii="Arial" w:eastAsia="Arial" w:hAnsi="Arial" w:cs="Arial"/>
          <w:i/>
        </w:rPr>
      </w:pPr>
      <w:r>
        <w:rPr>
          <w:rFonts w:ascii="Arial" w:eastAsia="Arial" w:hAnsi="Arial" w:cs="Arial"/>
          <w:i/>
        </w:rPr>
        <w:lastRenderedPageBreak/>
        <w:t xml:space="preserve">Flujograma de selección de documentos </w:t>
      </w:r>
    </w:p>
    <w:p w14:paraId="3E9CE26B" w14:textId="2F943758" w:rsidR="001775FF" w:rsidRDefault="001775FF">
      <w:pPr>
        <w:spacing w:line="360" w:lineRule="auto"/>
        <w:jc w:val="both"/>
        <w:rPr>
          <w:rFonts w:ascii="Arial" w:eastAsia="Arial" w:hAnsi="Arial" w:cs="Arial"/>
          <w:i/>
        </w:rPr>
      </w:pPr>
    </w:p>
    <w:p w14:paraId="23A6F345" w14:textId="77777777" w:rsidR="001775FF" w:rsidRDefault="00000000">
      <w:pPr>
        <w:spacing w:line="360" w:lineRule="auto"/>
        <w:jc w:val="both"/>
        <w:rPr>
          <w:rFonts w:ascii="Arial" w:eastAsia="Arial" w:hAnsi="Arial" w:cs="Arial"/>
          <w:i/>
        </w:rPr>
      </w:pPr>
      <w:r>
        <w:rPr>
          <w:rFonts w:ascii="Arial" w:eastAsia="Arial" w:hAnsi="Arial" w:cs="Arial"/>
          <w:i/>
        </w:rPr>
        <w:t>Fuente, elaboración propia basado en el flujograma PRISMA</w:t>
      </w:r>
    </w:p>
    <w:p w14:paraId="56CF7415" w14:textId="77777777" w:rsidR="001775FF" w:rsidRDefault="001775FF">
      <w:pPr>
        <w:spacing w:line="360" w:lineRule="auto"/>
        <w:jc w:val="both"/>
        <w:rPr>
          <w:rFonts w:ascii="Arial" w:eastAsia="Arial" w:hAnsi="Arial" w:cs="Arial"/>
        </w:rPr>
      </w:pPr>
    </w:p>
    <w:p w14:paraId="6FA5378C" w14:textId="77777777" w:rsidR="001775FF" w:rsidRDefault="00000000">
      <w:pPr>
        <w:spacing w:line="360" w:lineRule="auto"/>
        <w:jc w:val="both"/>
        <w:rPr>
          <w:rFonts w:ascii="Arial" w:eastAsia="Arial" w:hAnsi="Arial" w:cs="Arial"/>
        </w:rPr>
      </w:pPr>
      <w:r>
        <w:rPr>
          <w:rFonts w:ascii="Arial" w:eastAsia="Arial" w:hAnsi="Arial" w:cs="Arial"/>
        </w:rPr>
        <w:t>El flujograma muestra que se analizaron dos tipos de textos: 21 documentos académicos y 32 textos normativos emitidos por los gobiernos de Colombia y Argentina, sumando un total de 53 documentos.</w:t>
      </w:r>
    </w:p>
    <w:p w14:paraId="3050E19C" w14:textId="77777777" w:rsidR="001775FF" w:rsidRDefault="001775FF">
      <w:pPr>
        <w:spacing w:line="360" w:lineRule="auto"/>
        <w:jc w:val="both"/>
        <w:rPr>
          <w:rFonts w:ascii="Arial" w:eastAsia="Arial" w:hAnsi="Arial" w:cs="Arial"/>
        </w:rPr>
      </w:pPr>
    </w:p>
    <w:p w14:paraId="29EBD8CB" w14:textId="77777777" w:rsidR="001775FF" w:rsidRDefault="00000000">
      <w:pPr>
        <w:spacing w:after="160" w:line="360" w:lineRule="auto"/>
        <w:jc w:val="both"/>
        <w:rPr>
          <w:rFonts w:ascii="Arial" w:eastAsia="Arial" w:hAnsi="Arial" w:cs="Arial"/>
        </w:rPr>
      </w:pPr>
      <w:r>
        <w:rPr>
          <w:rFonts w:ascii="Arial" w:eastAsia="Arial" w:hAnsi="Arial" w:cs="Arial"/>
        </w:rPr>
        <w:t>Para asegurar la adecuada organización de los datos, se siguieron tres pasos metodológicos. En primer lugar, se realizó una lectura preliminar de los documentos para destacar fragmentos relevantes. A continuación, se llevó a cabo una codificación abierta de forma manual, donde se asignaron etiquetas a estos fragmentos para identificar conceptos clave. Posteriormente, se agruparon estos códigos en categorías más amplias a través de un proceso de codificación axial, lo que permitió reconocer las relaciones entre los conceptos.</w:t>
      </w:r>
    </w:p>
    <w:p w14:paraId="57E8A349" w14:textId="77777777" w:rsidR="001775FF" w:rsidRDefault="00000000">
      <w:pPr>
        <w:spacing w:line="360" w:lineRule="auto"/>
        <w:jc w:val="both"/>
        <w:rPr>
          <w:rFonts w:ascii="Arial" w:eastAsia="Arial" w:hAnsi="Arial" w:cs="Arial"/>
        </w:rPr>
      </w:pPr>
      <w:r>
        <w:rPr>
          <w:rFonts w:ascii="Arial" w:eastAsia="Arial" w:hAnsi="Arial" w:cs="Arial"/>
        </w:rPr>
        <w:t xml:space="preserve">Además, el enfoque incluyó entrevistas semiestructuradas a personas seleccionadas por su experiencia y conocimiento en el ámbito educativo quienes se desempeñaron en la educación durante la emergencia sanitaria. </w:t>
      </w:r>
    </w:p>
    <w:p w14:paraId="12CD028F" w14:textId="77777777" w:rsidR="001775FF" w:rsidRDefault="001775FF">
      <w:pPr>
        <w:spacing w:line="360" w:lineRule="auto"/>
        <w:jc w:val="both"/>
        <w:rPr>
          <w:rFonts w:ascii="Arial" w:eastAsia="Arial" w:hAnsi="Arial" w:cs="Arial"/>
        </w:rPr>
      </w:pPr>
    </w:p>
    <w:p w14:paraId="5DE7F606" w14:textId="77777777" w:rsidR="001775FF" w:rsidRDefault="00000000">
      <w:pPr>
        <w:spacing w:line="360" w:lineRule="auto"/>
        <w:jc w:val="both"/>
        <w:rPr>
          <w:rFonts w:ascii="Arial" w:eastAsia="Arial" w:hAnsi="Arial" w:cs="Arial"/>
        </w:rPr>
      </w:pPr>
      <w:r>
        <w:rPr>
          <w:rFonts w:ascii="Arial" w:eastAsia="Arial" w:hAnsi="Arial" w:cs="Arial"/>
        </w:rPr>
        <w:t xml:space="preserve">Los entrevistados fueron informados y dieron su consentimiento para participar en el estudio, así mismo fueron anonimizados y son citados de la siguiente manera; Docente investigadora en educación y emergencia sanitaria (E1), Experta en políticas educativas (E2), Docente investigador de Educación en Argentina (E3), Profesional del ministerio de educación (E4) y Docente Orientadora de escuela pública (E5). Las entrevistas, realizadas entre septiembre y octubre de 2024, se centraron en los objetivos del estudio y fueron grabadas, transcritas y analizadas. </w:t>
      </w:r>
    </w:p>
    <w:p w14:paraId="26D6285C" w14:textId="77777777" w:rsidR="001775FF" w:rsidRDefault="001775FF">
      <w:pPr>
        <w:spacing w:line="360" w:lineRule="auto"/>
        <w:jc w:val="both"/>
        <w:rPr>
          <w:rFonts w:ascii="Arial" w:eastAsia="Arial" w:hAnsi="Arial" w:cs="Arial"/>
        </w:rPr>
      </w:pPr>
    </w:p>
    <w:p w14:paraId="00D725A5" w14:textId="77777777" w:rsidR="001775FF" w:rsidRDefault="00000000">
      <w:pPr>
        <w:spacing w:after="160" w:line="360" w:lineRule="auto"/>
        <w:jc w:val="both"/>
        <w:rPr>
          <w:rFonts w:ascii="Arial" w:eastAsia="Arial" w:hAnsi="Arial" w:cs="Arial"/>
          <w:b/>
        </w:rPr>
      </w:pPr>
      <w:bookmarkStart w:id="3" w:name="_heading=h.3znysh7" w:colFirst="0" w:colLast="0"/>
      <w:bookmarkEnd w:id="3"/>
      <w:r>
        <w:rPr>
          <w:rFonts w:ascii="Arial" w:eastAsia="Arial" w:hAnsi="Arial" w:cs="Arial"/>
        </w:rPr>
        <w:t xml:space="preserve">Posteriormente, se aplicó la técnica de triangulación para validar las categorías emergentes, comparando publicaciones, entrevistas y documentos normativos. Esto aseguró la consistencia y coherencia de los resultados al contrastar diferentes fuentes de datos, característica clave en la revisión integrativa. </w:t>
      </w:r>
    </w:p>
    <w:p w14:paraId="58CBE4B6" w14:textId="77777777" w:rsidR="001775FF" w:rsidRDefault="00000000">
      <w:pPr>
        <w:spacing w:after="160" w:line="360" w:lineRule="auto"/>
        <w:jc w:val="both"/>
        <w:rPr>
          <w:rFonts w:ascii="Arial" w:eastAsia="Arial" w:hAnsi="Arial" w:cs="Arial"/>
          <w:b/>
        </w:rPr>
      </w:pPr>
      <w:r>
        <w:rPr>
          <w:rFonts w:ascii="Arial" w:eastAsia="Arial" w:hAnsi="Arial" w:cs="Arial"/>
          <w:b/>
        </w:rPr>
        <w:lastRenderedPageBreak/>
        <w:t>Resultados</w:t>
      </w:r>
    </w:p>
    <w:p w14:paraId="2111F5AF" w14:textId="77777777" w:rsidR="001775FF" w:rsidRDefault="00000000">
      <w:pPr>
        <w:spacing w:line="360" w:lineRule="auto"/>
        <w:jc w:val="both"/>
        <w:rPr>
          <w:rFonts w:ascii="Arial" w:eastAsia="Arial" w:hAnsi="Arial" w:cs="Arial"/>
          <w:b/>
        </w:rPr>
      </w:pPr>
      <w:r>
        <w:rPr>
          <w:rFonts w:ascii="Arial" w:eastAsia="Arial" w:hAnsi="Arial" w:cs="Arial"/>
          <w:b/>
        </w:rPr>
        <w:t>Extracción y Síntesis de Datos</w:t>
      </w:r>
    </w:p>
    <w:p w14:paraId="490AF82A" w14:textId="77777777" w:rsidR="001775FF" w:rsidRDefault="00000000">
      <w:pPr>
        <w:spacing w:line="360" w:lineRule="auto"/>
        <w:jc w:val="both"/>
        <w:rPr>
          <w:rFonts w:ascii="Arial" w:eastAsia="Arial" w:hAnsi="Arial" w:cs="Arial"/>
        </w:rPr>
      </w:pPr>
      <w:r>
        <w:rPr>
          <w:rFonts w:ascii="Arial" w:eastAsia="Arial" w:hAnsi="Arial" w:cs="Arial"/>
        </w:rPr>
        <w:t>Con el objetivo de clasificar y organizar la información, se elaboró una tabla para recopilar los datos relevantes.</w:t>
      </w:r>
    </w:p>
    <w:p w14:paraId="44DF48EF" w14:textId="77777777" w:rsidR="001775FF" w:rsidRDefault="001775FF">
      <w:pPr>
        <w:spacing w:line="360" w:lineRule="auto"/>
        <w:jc w:val="both"/>
        <w:rPr>
          <w:rFonts w:ascii="Arial" w:eastAsia="Arial" w:hAnsi="Arial" w:cs="Arial"/>
          <w:b/>
        </w:rPr>
      </w:pPr>
    </w:p>
    <w:p w14:paraId="44FDE552" w14:textId="77777777" w:rsidR="001775FF" w:rsidRDefault="00000000">
      <w:pPr>
        <w:spacing w:line="360" w:lineRule="auto"/>
        <w:jc w:val="both"/>
        <w:rPr>
          <w:rFonts w:ascii="Arial" w:eastAsia="Arial" w:hAnsi="Arial" w:cs="Arial"/>
          <w:b/>
        </w:rPr>
      </w:pPr>
      <w:r>
        <w:rPr>
          <w:rFonts w:ascii="Arial" w:eastAsia="Arial" w:hAnsi="Arial" w:cs="Arial"/>
          <w:b/>
        </w:rPr>
        <w:t xml:space="preserve">Tabla 1. </w:t>
      </w:r>
    </w:p>
    <w:p w14:paraId="5B53553A" w14:textId="77777777" w:rsidR="001775FF" w:rsidRDefault="00000000">
      <w:pPr>
        <w:spacing w:line="360" w:lineRule="auto"/>
        <w:jc w:val="both"/>
        <w:rPr>
          <w:rFonts w:ascii="Arial" w:eastAsia="Arial" w:hAnsi="Arial" w:cs="Arial"/>
          <w:i/>
        </w:rPr>
      </w:pPr>
      <w:r>
        <w:rPr>
          <w:rFonts w:ascii="Arial" w:eastAsia="Arial" w:hAnsi="Arial" w:cs="Arial"/>
          <w:i/>
        </w:rPr>
        <w:t xml:space="preserve">Documentos analizados </w:t>
      </w:r>
    </w:p>
    <w:p w14:paraId="26F97521" w14:textId="77777777" w:rsidR="001775FF" w:rsidRDefault="001775FF">
      <w:pPr>
        <w:spacing w:line="360" w:lineRule="auto"/>
        <w:jc w:val="both"/>
        <w:rPr>
          <w:rFonts w:ascii="Arial" w:eastAsia="Arial" w:hAnsi="Arial" w:cs="Arial"/>
          <w:i/>
        </w:rPr>
      </w:pPr>
    </w:p>
    <w:tbl>
      <w:tblPr>
        <w:tblStyle w:val="Tablaconcuadrcula2-nfasis6"/>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893"/>
        <w:gridCol w:w="1909"/>
        <w:gridCol w:w="1392"/>
        <w:gridCol w:w="2181"/>
        <w:gridCol w:w="1801"/>
      </w:tblGrid>
      <w:tr w:rsidR="001775FF" w14:paraId="5ABB040F" w14:textId="77777777" w:rsidTr="00DB5D8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Borders>
              <w:top w:val="none" w:sz="0" w:space="0" w:color="auto"/>
              <w:bottom w:val="none" w:sz="0" w:space="0" w:color="auto"/>
              <w:right w:val="none" w:sz="0" w:space="0" w:color="auto"/>
            </w:tcBorders>
          </w:tcPr>
          <w:p w14:paraId="4B0F2B69" w14:textId="77777777" w:rsidR="001775FF" w:rsidRPr="00DB5D88" w:rsidRDefault="00000000" w:rsidP="00DB5D88">
            <w:pPr>
              <w:spacing w:line="360" w:lineRule="auto"/>
              <w:jc w:val="center"/>
              <w:rPr>
                <w:rFonts w:ascii="Arial" w:eastAsia="Arial" w:hAnsi="Arial" w:cs="Arial"/>
                <w:bCs w:val="0"/>
              </w:rPr>
            </w:pPr>
            <w:r w:rsidRPr="00DB5D88">
              <w:rPr>
                <w:rFonts w:ascii="Arial" w:eastAsia="Arial" w:hAnsi="Arial" w:cs="Arial"/>
                <w:bCs w:val="0"/>
              </w:rPr>
              <w:t>Autores</w:t>
            </w:r>
          </w:p>
        </w:tc>
        <w:tc>
          <w:tcPr>
            <w:tcW w:w="893" w:type="dxa"/>
            <w:tcBorders>
              <w:top w:val="none" w:sz="0" w:space="0" w:color="auto"/>
              <w:left w:val="none" w:sz="0" w:space="0" w:color="auto"/>
              <w:bottom w:val="none" w:sz="0" w:space="0" w:color="auto"/>
              <w:right w:val="none" w:sz="0" w:space="0" w:color="auto"/>
            </w:tcBorders>
          </w:tcPr>
          <w:p w14:paraId="20012C5E" w14:textId="77777777" w:rsidR="001775FF" w:rsidRPr="00DB5D88" w:rsidRDefault="00000000" w:rsidP="00DB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DB5D88">
              <w:rPr>
                <w:rFonts w:ascii="Arial" w:eastAsia="Arial" w:hAnsi="Arial" w:cs="Arial"/>
                <w:bCs w:val="0"/>
              </w:rPr>
              <w:t>Año</w:t>
            </w:r>
          </w:p>
        </w:tc>
        <w:tc>
          <w:tcPr>
            <w:tcW w:w="1909" w:type="dxa"/>
            <w:tcBorders>
              <w:top w:val="none" w:sz="0" w:space="0" w:color="auto"/>
              <w:left w:val="none" w:sz="0" w:space="0" w:color="auto"/>
              <w:bottom w:val="none" w:sz="0" w:space="0" w:color="auto"/>
              <w:right w:val="none" w:sz="0" w:space="0" w:color="auto"/>
            </w:tcBorders>
          </w:tcPr>
          <w:p w14:paraId="680FE817" w14:textId="77777777" w:rsidR="001775FF" w:rsidRPr="00DB5D88" w:rsidRDefault="00000000" w:rsidP="00DB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DB5D88">
              <w:rPr>
                <w:rFonts w:ascii="Arial" w:eastAsia="Arial" w:hAnsi="Arial" w:cs="Arial"/>
                <w:bCs w:val="0"/>
              </w:rPr>
              <w:t>Título</w:t>
            </w:r>
          </w:p>
        </w:tc>
        <w:tc>
          <w:tcPr>
            <w:tcW w:w="1392" w:type="dxa"/>
            <w:tcBorders>
              <w:top w:val="none" w:sz="0" w:space="0" w:color="auto"/>
              <w:left w:val="none" w:sz="0" w:space="0" w:color="auto"/>
              <w:bottom w:val="none" w:sz="0" w:space="0" w:color="auto"/>
              <w:right w:val="none" w:sz="0" w:space="0" w:color="auto"/>
            </w:tcBorders>
          </w:tcPr>
          <w:p w14:paraId="4547A14F" w14:textId="77777777" w:rsidR="001775FF" w:rsidRPr="00DB5D88" w:rsidRDefault="00000000" w:rsidP="00DB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DB5D88">
              <w:rPr>
                <w:rFonts w:ascii="Arial" w:eastAsia="Arial" w:hAnsi="Arial" w:cs="Arial"/>
                <w:bCs w:val="0"/>
              </w:rPr>
              <w:t>País</w:t>
            </w:r>
          </w:p>
        </w:tc>
        <w:tc>
          <w:tcPr>
            <w:tcW w:w="2181" w:type="dxa"/>
            <w:tcBorders>
              <w:top w:val="none" w:sz="0" w:space="0" w:color="auto"/>
              <w:left w:val="none" w:sz="0" w:space="0" w:color="auto"/>
              <w:bottom w:val="none" w:sz="0" w:space="0" w:color="auto"/>
              <w:right w:val="none" w:sz="0" w:space="0" w:color="auto"/>
            </w:tcBorders>
          </w:tcPr>
          <w:p w14:paraId="68041D34" w14:textId="77777777" w:rsidR="001775FF" w:rsidRPr="00DB5D88" w:rsidRDefault="00000000" w:rsidP="00DB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DB5D88">
              <w:rPr>
                <w:rFonts w:ascii="Arial" w:eastAsia="Arial" w:hAnsi="Arial" w:cs="Arial"/>
                <w:bCs w:val="0"/>
              </w:rPr>
              <w:t>Diseño</w:t>
            </w:r>
          </w:p>
        </w:tc>
        <w:tc>
          <w:tcPr>
            <w:tcW w:w="1801" w:type="dxa"/>
            <w:tcBorders>
              <w:top w:val="none" w:sz="0" w:space="0" w:color="auto"/>
              <w:left w:val="none" w:sz="0" w:space="0" w:color="auto"/>
              <w:bottom w:val="none" w:sz="0" w:space="0" w:color="auto"/>
            </w:tcBorders>
          </w:tcPr>
          <w:p w14:paraId="00E13500" w14:textId="77777777" w:rsidR="001775FF" w:rsidRPr="00DB5D88" w:rsidRDefault="00000000" w:rsidP="00DB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DB5D88">
              <w:rPr>
                <w:rFonts w:ascii="Arial" w:eastAsia="Arial" w:hAnsi="Arial" w:cs="Arial"/>
                <w:bCs w:val="0"/>
              </w:rPr>
              <w:t>Población</w:t>
            </w:r>
          </w:p>
        </w:tc>
      </w:tr>
      <w:tr w:rsidR="001775FF" w14:paraId="08DEAE5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5397A318"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t>Alucin</w:t>
            </w:r>
            <w:proofErr w:type="spellEnd"/>
            <w:r w:rsidRPr="00DB5D88">
              <w:rPr>
                <w:rFonts w:ascii="Arial" w:eastAsia="Arial" w:hAnsi="Arial" w:cs="Arial"/>
                <w:b w:val="0"/>
                <w:sz w:val="20"/>
                <w:szCs w:val="20"/>
              </w:rPr>
              <w:t xml:space="preserve">, S., &amp; </w:t>
            </w:r>
            <w:proofErr w:type="spellStart"/>
            <w:r w:rsidRPr="00DB5D88">
              <w:rPr>
                <w:rFonts w:ascii="Arial" w:eastAsia="Arial" w:hAnsi="Arial" w:cs="Arial"/>
                <w:b w:val="0"/>
                <w:sz w:val="20"/>
                <w:szCs w:val="20"/>
              </w:rPr>
              <w:t>Monjelat</w:t>
            </w:r>
            <w:proofErr w:type="spellEnd"/>
            <w:r w:rsidRPr="00DB5D88">
              <w:rPr>
                <w:rFonts w:ascii="Arial" w:eastAsia="Arial" w:hAnsi="Arial" w:cs="Arial"/>
                <w:b w:val="0"/>
                <w:sz w:val="20"/>
                <w:szCs w:val="20"/>
              </w:rPr>
              <w:t>, N.</w:t>
            </w:r>
          </w:p>
        </w:tc>
        <w:tc>
          <w:tcPr>
            <w:tcW w:w="893" w:type="dxa"/>
          </w:tcPr>
          <w:p w14:paraId="7B58A762"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2023</w:t>
            </w:r>
          </w:p>
        </w:tc>
        <w:tc>
          <w:tcPr>
            <w:tcW w:w="1909" w:type="dxa"/>
          </w:tcPr>
          <w:p w14:paraId="131A4860"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Desigualdades educativas durante la pandemia en Argentina.</w:t>
            </w:r>
          </w:p>
        </w:tc>
        <w:tc>
          <w:tcPr>
            <w:tcW w:w="1392" w:type="dxa"/>
          </w:tcPr>
          <w:p w14:paraId="72574265"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Argentina</w:t>
            </w:r>
          </w:p>
        </w:tc>
        <w:tc>
          <w:tcPr>
            <w:tcW w:w="2181" w:type="dxa"/>
          </w:tcPr>
          <w:p w14:paraId="189B0D6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descriptivo entrevistas semiestructuradas</w:t>
            </w:r>
          </w:p>
        </w:tc>
        <w:tc>
          <w:tcPr>
            <w:tcW w:w="1801" w:type="dxa"/>
          </w:tcPr>
          <w:p w14:paraId="0F5D49A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19 docentes de diversas provincias, mayoría públicos.</w:t>
            </w:r>
          </w:p>
        </w:tc>
      </w:tr>
      <w:tr w:rsidR="001775FF" w14:paraId="32E01215"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61D1DA19"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t>Atchoarena</w:t>
            </w:r>
            <w:proofErr w:type="spellEnd"/>
            <w:r w:rsidRPr="00DB5D88">
              <w:rPr>
                <w:rFonts w:ascii="Arial" w:eastAsia="Arial" w:hAnsi="Arial" w:cs="Arial"/>
                <w:b w:val="0"/>
                <w:sz w:val="20"/>
                <w:szCs w:val="20"/>
              </w:rPr>
              <w:t>, D., &amp; Howells, A.</w:t>
            </w:r>
          </w:p>
        </w:tc>
        <w:tc>
          <w:tcPr>
            <w:tcW w:w="893" w:type="dxa"/>
          </w:tcPr>
          <w:p w14:paraId="4AA8E346"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4C23C760"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Avances en ciudades de aprendizaje: Aprendizaje continuo y sociedad educativa.</w:t>
            </w:r>
          </w:p>
        </w:tc>
        <w:tc>
          <w:tcPr>
            <w:tcW w:w="1392" w:type="dxa"/>
          </w:tcPr>
          <w:p w14:paraId="13A48AA4"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 Argentina)</w:t>
            </w:r>
          </w:p>
        </w:tc>
        <w:tc>
          <w:tcPr>
            <w:tcW w:w="2181" w:type="dxa"/>
          </w:tcPr>
          <w:p w14:paraId="2A67641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descriptivo (análisis de casos y revisión de políticas)</w:t>
            </w:r>
          </w:p>
        </w:tc>
        <w:tc>
          <w:tcPr>
            <w:tcW w:w="1801" w:type="dxa"/>
          </w:tcPr>
          <w:p w14:paraId="5B78584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No especificado.</w:t>
            </w:r>
          </w:p>
        </w:tc>
      </w:tr>
      <w:tr w:rsidR="001775FF" w14:paraId="766C3922"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59228B7D"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Barragán-Moreno, S. P., &amp; Lozano-Galindo, O. L.</w:t>
            </w:r>
          </w:p>
        </w:tc>
        <w:tc>
          <w:tcPr>
            <w:tcW w:w="893" w:type="dxa"/>
          </w:tcPr>
          <w:p w14:paraId="1D4E2EC7"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2022</w:t>
            </w:r>
          </w:p>
        </w:tc>
        <w:tc>
          <w:tcPr>
            <w:tcW w:w="1909" w:type="dxa"/>
          </w:tcPr>
          <w:p w14:paraId="5B653F24"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Variables explicativas del abandono escolar en Colombia durante COVID-19.</w:t>
            </w:r>
          </w:p>
        </w:tc>
        <w:tc>
          <w:tcPr>
            <w:tcW w:w="1392" w:type="dxa"/>
          </w:tcPr>
          <w:p w14:paraId="5634206B"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28CC88A2"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Revisión sistemática, descriptiva</w:t>
            </w:r>
          </w:p>
        </w:tc>
        <w:tc>
          <w:tcPr>
            <w:tcW w:w="1801" w:type="dxa"/>
          </w:tcPr>
          <w:p w14:paraId="49A26792"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125 artículos (2014-2019) y 32 del 2020-2021.</w:t>
            </w:r>
          </w:p>
        </w:tc>
      </w:tr>
      <w:tr w:rsidR="001775FF" w14:paraId="0D229416"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30D8B92D"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Bond, M.</w:t>
            </w:r>
          </w:p>
        </w:tc>
        <w:tc>
          <w:tcPr>
            <w:tcW w:w="893" w:type="dxa"/>
          </w:tcPr>
          <w:p w14:paraId="0544B583"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37F424FA"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Escuelas y educación remota de emergencia durante la pandemia.</w:t>
            </w:r>
          </w:p>
        </w:tc>
        <w:tc>
          <w:tcPr>
            <w:tcW w:w="1392" w:type="dxa"/>
          </w:tcPr>
          <w:p w14:paraId="2C3B621D"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(EE.UU., Reino Unido, etc.)</w:t>
            </w:r>
          </w:p>
        </w:tc>
        <w:tc>
          <w:tcPr>
            <w:tcW w:w="2181" w:type="dxa"/>
          </w:tcPr>
          <w:p w14:paraId="7D2FBD76"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Mixto, descriptivo y correlacional (análisis de datos secundarios)</w:t>
            </w:r>
          </w:p>
        </w:tc>
        <w:tc>
          <w:tcPr>
            <w:tcW w:w="1801" w:type="dxa"/>
          </w:tcPr>
          <w:p w14:paraId="2B844A49"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90 artículos educación K-12 durante la pandemia.</w:t>
            </w:r>
          </w:p>
        </w:tc>
      </w:tr>
      <w:tr w:rsidR="001775FF" w14:paraId="7FA6081D"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0297C100"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Caicedo, K. V., &amp; Zuluaga, Y. E. L.</w:t>
            </w:r>
          </w:p>
        </w:tc>
        <w:tc>
          <w:tcPr>
            <w:tcW w:w="893" w:type="dxa"/>
          </w:tcPr>
          <w:p w14:paraId="12D3C889"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2015</w:t>
            </w:r>
          </w:p>
        </w:tc>
        <w:tc>
          <w:tcPr>
            <w:tcW w:w="1909" w:type="dxa"/>
          </w:tcPr>
          <w:p w14:paraId="61C0F7B4"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Educación en emergencias: Un análisis de la </w:t>
            </w:r>
            <w:r w:rsidRPr="00DB5D88">
              <w:rPr>
                <w:rFonts w:ascii="Arial" w:eastAsia="Arial" w:hAnsi="Arial" w:cs="Arial"/>
                <w:sz w:val="20"/>
                <w:szCs w:val="20"/>
              </w:rPr>
              <w:lastRenderedPageBreak/>
              <w:t>educación en contextos de crisis.</w:t>
            </w:r>
          </w:p>
        </w:tc>
        <w:tc>
          <w:tcPr>
            <w:tcW w:w="1392" w:type="dxa"/>
          </w:tcPr>
          <w:p w14:paraId="42EB8D4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lastRenderedPageBreak/>
              <w:t>Colombia</w:t>
            </w:r>
          </w:p>
        </w:tc>
        <w:tc>
          <w:tcPr>
            <w:tcW w:w="2181" w:type="dxa"/>
          </w:tcPr>
          <w:p w14:paraId="6196E0C9"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Cualitativo, etnográfico participativo </w:t>
            </w:r>
          </w:p>
        </w:tc>
        <w:tc>
          <w:tcPr>
            <w:tcW w:w="1801" w:type="dxa"/>
          </w:tcPr>
          <w:p w14:paraId="743A679E"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IED de Manizales.</w:t>
            </w:r>
          </w:p>
        </w:tc>
      </w:tr>
      <w:tr w:rsidR="001775FF" w14:paraId="4D2A2004"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1F923A25"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Castillo, M., Camargo-Abello, M., &amp; Morales, R.</w:t>
            </w:r>
          </w:p>
        </w:tc>
        <w:tc>
          <w:tcPr>
            <w:tcW w:w="893" w:type="dxa"/>
          </w:tcPr>
          <w:p w14:paraId="47CD6FCA"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2011</w:t>
            </w:r>
          </w:p>
        </w:tc>
        <w:tc>
          <w:tcPr>
            <w:tcW w:w="1909" w:type="dxa"/>
          </w:tcPr>
          <w:p w14:paraId="2F4663C3"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Decisiones en educación en emergencias.</w:t>
            </w:r>
          </w:p>
        </w:tc>
        <w:tc>
          <w:tcPr>
            <w:tcW w:w="1392" w:type="dxa"/>
          </w:tcPr>
          <w:p w14:paraId="3A6DFF57"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28E97BB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Guía de orientación</w:t>
            </w:r>
          </w:p>
        </w:tc>
        <w:tc>
          <w:tcPr>
            <w:tcW w:w="1801" w:type="dxa"/>
          </w:tcPr>
          <w:p w14:paraId="203C8795"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Docentes y directivos.</w:t>
            </w:r>
          </w:p>
        </w:tc>
      </w:tr>
      <w:tr w:rsidR="001775FF" w14:paraId="49E3C28F"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641B1ED4"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t>Dabenigno</w:t>
            </w:r>
            <w:proofErr w:type="spellEnd"/>
            <w:r w:rsidRPr="00DB5D88">
              <w:rPr>
                <w:rFonts w:ascii="Arial" w:eastAsia="Arial" w:hAnsi="Arial" w:cs="Arial"/>
                <w:b w:val="0"/>
                <w:sz w:val="20"/>
                <w:szCs w:val="20"/>
              </w:rPr>
              <w:t xml:space="preserve">, V., </w:t>
            </w:r>
            <w:proofErr w:type="spellStart"/>
            <w:r w:rsidRPr="00DB5D88">
              <w:rPr>
                <w:rFonts w:ascii="Arial" w:eastAsia="Arial" w:hAnsi="Arial" w:cs="Arial"/>
                <w:b w:val="0"/>
                <w:sz w:val="20"/>
                <w:szCs w:val="20"/>
              </w:rPr>
              <w:t>Freytes</w:t>
            </w:r>
            <w:proofErr w:type="spellEnd"/>
            <w:r w:rsidRPr="00DB5D88">
              <w:rPr>
                <w:rFonts w:ascii="Arial" w:eastAsia="Arial" w:hAnsi="Arial" w:cs="Arial"/>
                <w:b w:val="0"/>
                <w:sz w:val="20"/>
                <w:szCs w:val="20"/>
              </w:rPr>
              <w:t xml:space="preserve"> Frey, A., &amp; Meo, A. I.</w:t>
            </w:r>
          </w:p>
        </w:tc>
        <w:tc>
          <w:tcPr>
            <w:tcW w:w="893" w:type="dxa"/>
          </w:tcPr>
          <w:p w14:paraId="7F7AA200"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1EA5C4E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COVID-19 y TIC: Estrategias pedagógicas y desigualdades educativas.</w:t>
            </w:r>
          </w:p>
        </w:tc>
        <w:tc>
          <w:tcPr>
            <w:tcW w:w="1392" w:type="dxa"/>
          </w:tcPr>
          <w:p w14:paraId="5880735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Argentina</w:t>
            </w:r>
          </w:p>
        </w:tc>
        <w:tc>
          <w:tcPr>
            <w:tcW w:w="2181" w:type="dxa"/>
          </w:tcPr>
          <w:p w14:paraId="52D6AAA0"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Cuantitativo, descriptivo </w:t>
            </w:r>
          </w:p>
        </w:tc>
        <w:tc>
          <w:tcPr>
            <w:tcW w:w="1801" w:type="dxa"/>
          </w:tcPr>
          <w:p w14:paraId="105C8EE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601 docentes de secundaria Provincia Buenos Aires.</w:t>
            </w:r>
          </w:p>
        </w:tc>
      </w:tr>
      <w:tr w:rsidR="001775FF" w14:paraId="73DC6BF8"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41ABC516"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t>Damani</w:t>
            </w:r>
            <w:proofErr w:type="spellEnd"/>
            <w:r w:rsidRPr="00DB5D88">
              <w:rPr>
                <w:rFonts w:ascii="Arial" w:eastAsia="Arial" w:hAnsi="Arial" w:cs="Arial"/>
                <w:b w:val="0"/>
                <w:sz w:val="20"/>
                <w:szCs w:val="20"/>
              </w:rPr>
              <w:t>, K., et al.</w:t>
            </w:r>
          </w:p>
        </w:tc>
        <w:tc>
          <w:tcPr>
            <w:tcW w:w="893" w:type="dxa"/>
          </w:tcPr>
          <w:p w14:paraId="75B4AE5D"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2022</w:t>
            </w:r>
          </w:p>
        </w:tc>
        <w:tc>
          <w:tcPr>
            <w:tcW w:w="1909" w:type="dxa"/>
          </w:tcPr>
          <w:p w14:paraId="2F9209AA"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roofErr w:type="spellStart"/>
            <w:r w:rsidRPr="00DB5D88">
              <w:rPr>
                <w:rFonts w:ascii="Arial" w:eastAsia="Arial" w:hAnsi="Arial" w:cs="Arial"/>
                <w:sz w:val="20"/>
                <w:szCs w:val="20"/>
              </w:rPr>
              <w:t>EdTech</w:t>
            </w:r>
            <w:proofErr w:type="spellEnd"/>
            <w:r w:rsidRPr="00DB5D88">
              <w:rPr>
                <w:rFonts w:ascii="Arial" w:eastAsia="Arial" w:hAnsi="Arial" w:cs="Arial"/>
                <w:sz w:val="20"/>
                <w:szCs w:val="20"/>
              </w:rPr>
              <w:t xml:space="preserve"> para niñas ugandesas: Impacto de las tecnologías en su educación secundaria durante la pandemia.</w:t>
            </w:r>
          </w:p>
        </w:tc>
        <w:tc>
          <w:tcPr>
            <w:tcW w:w="1392" w:type="dxa"/>
          </w:tcPr>
          <w:p w14:paraId="10899D8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Uganda</w:t>
            </w:r>
          </w:p>
        </w:tc>
        <w:tc>
          <w:tcPr>
            <w:tcW w:w="2181" w:type="dxa"/>
          </w:tcPr>
          <w:p w14:paraId="0A6DAEB9"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Mixto (encuestas y entrevistas con el personal de PEAS)</w:t>
            </w:r>
          </w:p>
        </w:tc>
        <w:tc>
          <w:tcPr>
            <w:tcW w:w="1801" w:type="dxa"/>
          </w:tcPr>
          <w:p w14:paraId="2CD49ECA"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483 estudiantes</w:t>
            </w:r>
          </w:p>
        </w:tc>
      </w:tr>
      <w:tr w:rsidR="001775FF" w14:paraId="1E6751E8"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6A26F8F6"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 xml:space="preserve">Álvarez, M., </w:t>
            </w:r>
            <w:proofErr w:type="spellStart"/>
            <w:r w:rsidRPr="00DB5D88">
              <w:rPr>
                <w:rFonts w:ascii="Arial" w:eastAsia="Arial" w:hAnsi="Arial" w:cs="Arial"/>
                <w:b w:val="0"/>
                <w:sz w:val="20"/>
                <w:szCs w:val="20"/>
              </w:rPr>
              <w:t>Gardyn</w:t>
            </w:r>
            <w:proofErr w:type="spellEnd"/>
            <w:r w:rsidRPr="00DB5D88">
              <w:rPr>
                <w:rFonts w:ascii="Arial" w:eastAsia="Arial" w:hAnsi="Arial" w:cs="Arial"/>
                <w:b w:val="0"/>
                <w:sz w:val="20"/>
                <w:szCs w:val="20"/>
              </w:rPr>
              <w:t xml:space="preserve">, N., </w:t>
            </w:r>
            <w:proofErr w:type="spellStart"/>
            <w:r w:rsidRPr="00DB5D88">
              <w:rPr>
                <w:rFonts w:ascii="Arial" w:eastAsia="Arial" w:hAnsi="Arial" w:cs="Arial"/>
                <w:b w:val="0"/>
                <w:sz w:val="20"/>
                <w:szCs w:val="20"/>
              </w:rPr>
              <w:t>Iardelevsky</w:t>
            </w:r>
            <w:proofErr w:type="spellEnd"/>
            <w:r w:rsidRPr="00DB5D88">
              <w:rPr>
                <w:rFonts w:ascii="Arial" w:eastAsia="Arial" w:hAnsi="Arial" w:cs="Arial"/>
                <w:b w:val="0"/>
                <w:sz w:val="20"/>
                <w:szCs w:val="20"/>
              </w:rPr>
              <w:t xml:space="preserve">, A., &amp; </w:t>
            </w:r>
            <w:proofErr w:type="spellStart"/>
            <w:r w:rsidRPr="00DB5D88">
              <w:rPr>
                <w:rFonts w:ascii="Arial" w:eastAsia="Arial" w:hAnsi="Arial" w:cs="Arial"/>
                <w:b w:val="0"/>
                <w:sz w:val="20"/>
                <w:szCs w:val="20"/>
              </w:rPr>
              <w:t>Rebello</w:t>
            </w:r>
            <w:proofErr w:type="spellEnd"/>
            <w:r w:rsidRPr="00DB5D88">
              <w:rPr>
                <w:rFonts w:ascii="Arial" w:eastAsia="Arial" w:hAnsi="Arial" w:cs="Arial"/>
                <w:b w:val="0"/>
                <w:sz w:val="20"/>
                <w:szCs w:val="20"/>
              </w:rPr>
              <w:t>, G.</w:t>
            </w:r>
          </w:p>
        </w:tc>
        <w:tc>
          <w:tcPr>
            <w:tcW w:w="893" w:type="dxa"/>
          </w:tcPr>
          <w:p w14:paraId="7429D68C"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2020</w:t>
            </w:r>
          </w:p>
        </w:tc>
        <w:tc>
          <w:tcPr>
            <w:tcW w:w="1909" w:type="dxa"/>
          </w:tcPr>
          <w:p w14:paraId="0418A94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Estrategias educativas de emergencia en la pandemia: Análisis de segregación escolar.</w:t>
            </w:r>
          </w:p>
        </w:tc>
        <w:tc>
          <w:tcPr>
            <w:tcW w:w="1392" w:type="dxa"/>
          </w:tcPr>
          <w:p w14:paraId="4121E7C6"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Argentina</w:t>
            </w:r>
          </w:p>
        </w:tc>
        <w:tc>
          <w:tcPr>
            <w:tcW w:w="2181" w:type="dxa"/>
          </w:tcPr>
          <w:p w14:paraId="4CC56382"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Exploratorio, descriptivo</w:t>
            </w:r>
          </w:p>
        </w:tc>
        <w:tc>
          <w:tcPr>
            <w:tcW w:w="1801" w:type="dxa"/>
          </w:tcPr>
          <w:p w14:paraId="4B873E2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Docentes y directivos.</w:t>
            </w:r>
          </w:p>
        </w:tc>
      </w:tr>
      <w:tr w:rsidR="001775FF" w14:paraId="63B9FCB8"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7CBDE38E"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INEE (Nota institucional)</w:t>
            </w:r>
          </w:p>
        </w:tc>
        <w:tc>
          <w:tcPr>
            <w:tcW w:w="893" w:type="dxa"/>
          </w:tcPr>
          <w:p w14:paraId="1BCFBA38"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0B27C4F2"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Notas de orientación sobre enseñanza y aprendizaje.</w:t>
            </w:r>
          </w:p>
        </w:tc>
        <w:tc>
          <w:tcPr>
            <w:tcW w:w="1392" w:type="dxa"/>
          </w:tcPr>
          <w:p w14:paraId="0FBB4026"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Global</w:t>
            </w:r>
          </w:p>
        </w:tc>
        <w:tc>
          <w:tcPr>
            <w:tcW w:w="2181" w:type="dxa"/>
          </w:tcPr>
          <w:p w14:paraId="1D98A92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revisión de literatura y consulta con expertos</w:t>
            </w:r>
          </w:p>
        </w:tc>
        <w:tc>
          <w:tcPr>
            <w:tcW w:w="1801" w:type="dxa"/>
          </w:tcPr>
          <w:p w14:paraId="049F061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No especificado.</w:t>
            </w:r>
          </w:p>
        </w:tc>
      </w:tr>
      <w:tr w:rsidR="001775FF" w14:paraId="2B2828ED"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7121008C"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Jaime-Osorio, M. F., &amp; Campos-Perdomo, M. A.</w:t>
            </w:r>
          </w:p>
        </w:tc>
        <w:tc>
          <w:tcPr>
            <w:tcW w:w="893" w:type="dxa"/>
          </w:tcPr>
          <w:p w14:paraId="1A1EF5AB"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2023</w:t>
            </w:r>
          </w:p>
        </w:tc>
        <w:tc>
          <w:tcPr>
            <w:tcW w:w="1909" w:type="dxa"/>
          </w:tcPr>
          <w:p w14:paraId="30C36FDF"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Aprendizaje remoto en tiempos de COVID-19 en Colombia: Hallazgos y perspectivas.</w:t>
            </w:r>
          </w:p>
        </w:tc>
        <w:tc>
          <w:tcPr>
            <w:tcW w:w="1392" w:type="dxa"/>
          </w:tcPr>
          <w:p w14:paraId="54A7942E"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3BEC7E34"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Cuantitativo, descriptivo-transversal (encuestas a estudiantes)</w:t>
            </w:r>
          </w:p>
        </w:tc>
        <w:tc>
          <w:tcPr>
            <w:tcW w:w="1801" w:type="dxa"/>
          </w:tcPr>
          <w:p w14:paraId="7AB27464"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101 estudiantes de secundaria y primaria en Neiva y Pitalito.</w:t>
            </w:r>
          </w:p>
        </w:tc>
      </w:tr>
      <w:tr w:rsidR="001775FF" w14:paraId="243817FA"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3EB6C4AB"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t>Kosiyaporn</w:t>
            </w:r>
            <w:proofErr w:type="spellEnd"/>
            <w:r w:rsidRPr="00DB5D88">
              <w:rPr>
                <w:rFonts w:ascii="Arial" w:eastAsia="Arial" w:hAnsi="Arial" w:cs="Arial"/>
                <w:b w:val="0"/>
                <w:sz w:val="20"/>
                <w:szCs w:val="20"/>
              </w:rPr>
              <w:t>, H., et al.</w:t>
            </w:r>
          </w:p>
        </w:tc>
        <w:tc>
          <w:tcPr>
            <w:tcW w:w="893" w:type="dxa"/>
          </w:tcPr>
          <w:p w14:paraId="04A3B349"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2023</w:t>
            </w:r>
          </w:p>
        </w:tc>
        <w:tc>
          <w:tcPr>
            <w:tcW w:w="1909" w:type="dxa"/>
          </w:tcPr>
          <w:p w14:paraId="17219ED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Características de las intervenciones educativas a </w:t>
            </w:r>
            <w:r w:rsidRPr="00DB5D88">
              <w:rPr>
                <w:rFonts w:ascii="Arial" w:eastAsia="Arial" w:hAnsi="Arial" w:cs="Arial"/>
                <w:sz w:val="20"/>
                <w:szCs w:val="20"/>
              </w:rPr>
              <w:lastRenderedPageBreak/>
              <w:t>distancia y resultados en niños de primaria.</w:t>
            </w:r>
          </w:p>
        </w:tc>
        <w:tc>
          <w:tcPr>
            <w:tcW w:w="1392" w:type="dxa"/>
          </w:tcPr>
          <w:p w14:paraId="7FD81F41"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lastRenderedPageBreak/>
              <w:t>Tailandia</w:t>
            </w:r>
          </w:p>
        </w:tc>
        <w:tc>
          <w:tcPr>
            <w:tcW w:w="2181" w:type="dxa"/>
          </w:tcPr>
          <w:p w14:paraId="21340FC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Revisión sistemática</w:t>
            </w:r>
          </w:p>
        </w:tc>
        <w:tc>
          <w:tcPr>
            <w:tcW w:w="1801" w:type="dxa"/>
          </w:tcPr>
          <w:p w14:paraId="654F09C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Educación a distancia, </w:t>
            </w:r>
            <w:r w:rsidRPr="00DB5D88">
              <w:rPr>
                <w:rFonts w:ascii="Arial" w:eastAsia="Arial" w:hAnsi="Arial" w:cs="Arial"/>
                <w:sz w:val="20"/>
                <w:szCs w:val="20"/>
              </w:rPr>
              <w:lastRenderedPageBreak/>
              <w:t>síncronas y asincrónicas.</w:t>
            </w:r>
          </w:p>
        </w:tc>
      </w:tr>
      <w:tr w:rsidR="001775FF" w14:paraId="14D403F6"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16FC9A21" w14:textId="77777777" w:rsidR="001775FF" w:rsidRPr="00DB5D88" w:rsidRDefault="00000000">
            <w:pPr>
              <w:spacing w:line="360" w:lineRule="auto"/>
              <w:jc w:val="both"/>
              <w:rPr>
                <w:rFonts w:ascii="Arial" w:eastAsia="Arial" w:hAnsi="Arial" w:cs="Arial"/>
                <w:sz w:val="20"/>
                <w:szCs w:val="20"/>
              </w:rPr>
            </w:pPr>
            <w:proofErr w:type="spellStart"/>
            <w:r w:rsidRPr="00DB5D88">
              <w:rPr>
                <w:rFonts w:ascii="Arial" w:eastAsia="Arial" w:hAnsi="Arial" w:cs="Arial"/>
                <w:b w:val="0"/>
                <w:sz w:val="20"/>
                <w:szCs w:val="20"/>
              </w:rPr>
              <w:lastRenderedPageBreak/>
              <w:t>Lavell</w:t>
            </w:r>
            <w:proofErr w:type="spellEnd"/>
            <w:r w:rsidRPr="00DB5D88">
              <w:rPr>
                <w:rFonts w:ascii="Arial" w:eastAsia="Arial" w:hAnsi="Arial" w:cs="Arial"/>
                <w:b w:val="0"/>
                <w:sz w:val="20"/>
                <w:szCs w:val="20"/>
              </w:rPr>
              <w:t>, A.</w:t>
            </w:r>
          </w:p>
        </w:tc>
        <w:tc>
          <w:tcPr>
            <w:tcW w:w="893" w:type="dxa"/>
          </w:tcPr>
          <w:p w14:paraId="73B1A25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2000</w:t>
            </w:r>
          </w:p>
        </w:tc>
        <w:tc>
          <w:tcPr>
            <w:tcW w:w="1909" w:type="dxa"/>
          </w:tcPr>
          <w:p w14:paraId="00AD4F27"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Gestión del riesgo: Definición conceptual.</w:t>
            </w:r>
          </w:p>
        </w:tc>
        <w:tc>
          <w:tcPr>
            <w:tcW w:w="1392" w:type="dxa"/>
          </w:tcPr>
          <w:p w14:paraId="13C24E88"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América Latina</w:t>
            </w:r>
          </w:p>
        </w:tc>
        <w:tc>
          <w:tcPr>
            <w:tcW w:w="2181" w:type="dxa"/>
          </w:tcPr>
          <w:p w14:paraId="204B763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teórico-conceptual (revisión de estudios previos)</w:t>
            </w:r>
          </w:p>
        </w:tc>
        <w:tc>
          <w:tcPr>
            <w:tcW w:w="1801" w:type="dxa"/>
          </w:tcPr>
          <w:p w14:paraId="0A0249C0"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No aplica.</w:t>
            </w:r>
          </w:p>
        </w:tc>
      </w:tr>
      <w:tr w:rsidR="001775FF" w14:paraId="4E50F2C1"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24A8AEDA"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Luna, G. M. M., &amp; Martínez, J. E. M.</w:t>
            </w:r>
          </w:p>
        </w:tc>
        <w:tc>
          <w:tcPr>
            <w:tcW w:w="893" w:type="dxa"/>
          </w:tcPr>
          <w:p w14:paraId="76489F0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2022</w:t>
            </w:r>
          </w:p>
        </w:tc>
        <w:tc>
          <w:tcPr>
            <w:tcW w:w="1909" w:type="dxa"/>
          </w:tcPr>
          <w:p w14:paraId="5B0A7A3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Gestión educativa más allá del aula: Retos en la emergencia.</w:t>
            </w:r>
          </w:p>
        </w:tc>
        <w:tc>
          <w:tcPr>
            <w:tcW w:w="1392" w:type="dxa"/>
          </w:tcPr>
          <w:p w14:paraId="3C008DB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7C4A771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descriptivo</w:t>
            </w:r>
          </w:p>
        </w:tc>
        <w:tc>
          <w:tcPr>
            <w:tcW w:w="1801" w:type="dxa"/>
          </w:tcPr>
          <w:p w14:paraId="4FC832C8"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Comunidad educativa.</w:t>
            </w:r>
          </w:p>
        </w:tc>
      </w:tr>
      <w:tr w:rsidR="001775FF" w14:paraId="3D0A44E5"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127DB6A0"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Medina, R. D. J. C., et al.</w:t>
            </w:r>
          </w:p>
        </w:tc>
        <w:tc>
          <w:tcPr>
            <w:tcW w:w="893" w:type="dxa"/>
          </w:tcPr>
          <w:p w14:paraId="7BD3C9C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2020</w:t>
            </w:r>
          </w:p>
        </w:tc>
        <w:tc>
          <w:tcPr>
            <w:tcW w:w="1909" w:type="dxa"/>
          </w:tcPr>
          <w:p w14:paraId="06F1A7BA"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Estrategias didácticas y ambientes de aprendizaje emergentes en la educación rural.</w:t>
            </w:r>
          </w:p>
        </w:tc>
        <w:tc>
          <w:tcPr>
            <w:tcW w:w="1392" w:type="dxa"/>
          </w:tcPr>
          <w:p w14:paraId="7FBC2D69"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712700B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Descriptivo, cualitativo interpretativo</w:t>
            </w:r>
          </w:p>
        </w:tc>
        <w:tc>
          <w:tcPr>
            <w:tcW w:w="1801" w:type="dxa"/>
          </w:tcPr>
          <w:p w14:paraId="00544C9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6 instituciones, 104 docentes, 6 directivos.</w:t>
            </w:r>
          </w:p>
        </w:tc>
      </w:tr>
      <w:tr w:rsidR="001775FF" w14:paraId="7418D8D1"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4E01E673"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Garay, F. O., et al.</w:t>
            </w:r>
          </w:p>
        </w:tc>
        <w:tc>
          <w:tcPr>
            <w:tcW w:w="893" w:type="dxa"/>
          </w:tcPr>
          <w:p w14:paraId="39F2A929"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2D506C80"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Estrategias pedagógicas en entornos virtuales durante la pandemia.</w:t>
            </w:r>
          </w:p>
        </w:tc>
        <w:tc>
          <w:tcPr>
            <w:tcW w:w="1392" w:type="dxa"/>
          </w:tcPr>
          <w:p w14:paraId="015F45D7"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 y Perú</w:t>
            </w:r>
          </w:p>
        </w:tc>
        <w:tc>
          <w:tcPr>
            <w:tcW w:w="2181" w:type="dxa"/>
          </w:tcPr>
          <w:p w14:paraId="3F070CB1"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(investigación-acción, observación, entrevistas)</w:t>
            </w:r>
          </w:p>
        </w:tc>
        <w:tc>
          <w:tcPr>
            <w:tcW w:w="1801" w:type="dxa"/>
          </w:tcPr>
          <w:p w14:paraId="0C7EB600"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Estudiantes y docentes.</w:t>
            </w:r>
          </w:p>
        </w:tc>
      </w:tr>
      <w:tr w:rsidR="001775FF" w14:paraId="123F0C4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7842BA5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Reynosa Navarro, E., et al.</w:t>
            </w:r>
          </w:p>
        </w:tc>
        <w:tc>
          <w:tcPr>
            <w:tcW w:w="893" w:type="dxa"/>
          </w:tcPr>
          <w:p w14:paraId="32F2A0F3"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2021</w:t>
            </w:r>
          </w:p>
        </w:tc>
        <w:tc>
          <w:tcPr>
            <w:tcW w:w="1909" w:type="dxa"/>
          </w:tcPr>
          <w:p w14:paraId="211556EE"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Relevancia de los medios en la prevención, educación y gestión del COVID-19.</w:t>
            </w:r>
          </w:p>
        </w:tc>
        <w:tc>
          <w:tcPr>
            <w:tcW w:w="1392" w:type="dxa"/>
          </w:tcPr>
          <w:p w14:paraId="4AB4BB55"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Perú</w:t>
            </w:r>
          </w:p>
        </w:tc>
        <w:tc>
          <w:tcPr>
            <w:tcW w:w="2181" w:type="dxa"/>
          </w:tcPr>
          <w:p w14:paraId="128381A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Mixto, descriptivo y correlacional</w:t>
            </w:r>
          </w:p>
        </w:tc>
        <w:tc>
          <w:tcPr>
            <w:tcW w:w="1801" w:type="dxa"/>
          </w:tcPr>
          <w:p w14:paraId="5A127C7F"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No especificado.</w:t>
            </w:r>
          </w:p>
        </w:tc>
      </w:tr>
      <w:tr w:rsidR="001775FF" w14:paraId="2E9007AF"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17C5AD3F"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Rodríguez, D. F. B., et al.</w:t>
            </w:r>
          </w:p>
        </w:tc>
        <w:tc>
          <w:tcPr>
            <w:tcW w:w="893" w:type="dxa"/>
          </w:tcPr>
          <w:p w14:paraId="159413FE"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2020</w:t>
            </w:r>
          </w:p>
        </w:tc>
        <w:tc>
          <w:tcPr>
            <w:tcW w:w="1909" w:type="dxa"/>
          </w:tcPr>
          <w:p w14:paraId="6CCFC366"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Percepciones de docentes y estudiantes sobre la enseñanza remota durante COVID-19.</w:t>
            </w:r>
          </w:p>
        </w:tc>
        <w:tc>
          <w:tcPr>
            <w:tcW w:w="1392" w:type="dxa"/>
          </w:tcPr>
          <w:p w14:paraId="79880EDF"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73AF73B9"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Cualitativo (entrevista semiestructurada, cuestionarios)</w:t>
            </w:r>
          </w:p>
        </w:tc>
        <w:tc>
          <w:tcPr>
            <w:tcW w:w="1801" w:type="dxa"/>
          </w:tcPr>
          <w:p w14:paraId="2CF78402"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 profesoras de Química y 60 estudiantes.</w:t>
            </w:r>
          </w:p>
        </w:tc>
      </w:tr>
      <w:tr w:rsidR="001775FF" w14:paraId="4206E1AE"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66839EF0"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Romero, C., et al.</w:t>
            </w:r>
          </w:p>
        </w:tc>
        <w:tc>
          <w:tcPr>
            <w:tcW w:w="893" w:type="dxa"/>
          </w:tcPr>
          <w:p w14:paraId="62753946"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2023</w:t>
            </w:r>
          </w:p>
        </w:tc>
        <w:tc>
          <w:tcPr>
            <w:tcW w:w="1909" w:type="dxa"/>
          </w:tcPr>
          <w:p w14:paraId="46231556"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Desigualdad y segregación educativa durante </w:t>
            </w:r>
            <w:r w:rsidRPr="00DB5D88">
              <w:rPr>
                <w:rFonts w:ascii="Arial" w:eastAsia="Arial" w:hAnsi="Arial" w:cs="Arial"/>
                <w:sz w:val="20"/>
                <w:szCs w:val="20"/>
              </w:rPr>
              <w:lastRenderedPageBreak/>
              <w:t>la pandemia en Argentina.</w:t>
            </w:r>
          </w:p>
        </w:tc>
        <w:tc>
          <w:tcPr>
            <w:tcW w:w="1392" w:type="dxa"/>
          </w:tcPr>
          <w:p w14:paraId="4AF65517"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lastRenderedPageBreak/>
              <w:t>Argentina</w:t>
            </w:r>
          </w:p>
        </w:tc>
        <w:tc>
          <w:tcPr>
            <w:tcW w:w="2181" w:type="dxa"/>
          </w:tcPr>
          <w:p w14:paraId="672B2CD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Exploratorio, descriptivo (encuesta online)</w:t>
            </w:r>
          </w:p>
        </w:tc>
        <w:tc>
          <w:tcPr>
            <w:tcW w:w="1801" w:type="dxa"/>
          </w:tcPr>
          <w:p w14:paraId="7E63497B"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 xml:space="preserve">143 directivos de escuelas públicas y privadas en </w:t>
            </w:r>
            <w:r w:rsidRPr="00DB5D88">
              <w:rPr>
                <w:rFonts w:ascii="Arial" w:eastAsia="Arial" w:hAnsi="Arial" w:cs="Arial"/>
                <w:sz w:val="20"/>
                <w:szCs w:val="20"/>
              </w:rPr>
              <w:lastRenderedPageBreak/>
              <w:t>CABA y Buenos Aires.</w:t>
            </w:r>
          </w:p>
        </w:tc>
      </w:tr>
      <w:tr w:rsidR="001775FF" w14:paraId="766417B6"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1796" w:type="dxa"/>
          </w:tcPr>
          <w:p w14:paraId="1D0C9C9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lastRenderedPageBreak/>
              <w:t xml:space="preserve">Santamaria, M. S., &amp; </w:t>
            </w:r>
            <w:proofErr w:type="spellStart"/>
            <w:r w:rsidRPr="00DB5D88">
              <w:rPr>
                <w:rFonts w:ascii="Arial" w:eastAsia="Arial" w:hAnsi="Arial" w:cs="Arial"/>
                <w:b w:val="0"/>
                <w:sz w:val="20"/>
                <w:szCs w:val="20"/>
              </w:rPr>
              <w:t>Reimers</w:t>
            </w:r>
            <w:proofErr w:type="spellEnd"/>
            <w:r w:rsidRPr="00DB5D88">
              <w:rPr>
                <w:rFonts w:ascii="Arial" w:eastAsia="Arial" w:hAnsi="Arial" w:cs="Arial"/>
                <w:b w:val="0"/>
                <w:sz w:val="20"/>
                <w:szCs w:val="20"/>
              </w:rPr>
              <w:t>, F.</w:t>
            </w:r>
          </w:p>
        </w:tc>
        <w:tc>
          <w:tcPr>
            <w:tcW w:w="893" w:type="dxa"/>
          </w:tcPr>
          <w:p w14:paraId="07DF1DAD"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2020</w:t>
            </w:r>
          </w:p>
        </w:tc>
        <w:tc>
          <w:tcPr>
            <w:tcW w:w="1909" w:type="dxa"/>
          </w:tcPr>
          <w:p w14:paraId="158235C4"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 Aprende en Casa (</w:t>
            </w:r>
            <w:proofErr w:type="spellStart"/>
            <w:r w:rsidRPr="00DB5D88">
              <w:rPr>
                <w:rFonts w:ascii="Arial" w:eastAsia="Arial" w:hAnsi="Arial" w:cs="Arial"/>
                <w:sz w:val="20"/>
                <w:szCs w:val="20"/>
              </w:rPr>
              <w:t>Learning</w:t>
            </w:r>
            <w:proofErr w:type="spellEnd"/>
            <w:r w:rsidRPr="00DB5D88">
              <w:rPr>
                <w:rFonts w:ascii="Arial" w:eastAsia="Arial" w:hAnsi="Arial" w:cs="Arial"/>
                <w:sz w:val="20"/>
                <w:szCs w:val="20"/>
              </w:rPr>
              <w:t xml:space="preserve"> at home).</w:t>
            </w:r>
          </w:p>
        </w:tc>
        <w:tc>
          <w:tcPr>
            <w:tcW w:w="1392" w:type="dxa"/>
          </w:tcPr>
          <w:p w14:paraId="3F55515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471EEFE4"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Guía de orientación</w:t>
            </w:r>
          </w:p>
        </w:tc>
        <w:tc>
          <w:tcPr>
            <w:tcW w:w="1801" w:type="dxa"/>
          </w:tcPr>
          <w:p w14:paraId="08E5E3E2"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Docentes y directivos.</w:t>
            </w:r>
          </w:p>
        </w:tc>
      </w:tr>
      <w:tr w:rsidR="001775FF" w14:paraId="31162796"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6" w:type="dxa"/>
          </w:tcPr>
          <w:p w14:paraId="78EE8D4F"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Vegas, E.</w:t>
            </w:r>
          </w:p>
        </w:tc>
        <w:tc>
          <w:tcPr>
            <w:tcW w:w="893" w:type="dxa"/>
          </w:tcPr>
          <w:p w14:paraId="72B01AF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2022</w:t>
            </w:r>
          </w:p>
        </w:tc>
        <w:tc>
          <w:tcPr>
            <w:tcW w:w="1909" w:type="dxa"/>
          </w:tcPr>
          <w:p w14:paraId="69084F86"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Impacto de COVID-19 en las pérdidas de aprendizaje y desigualdad educativa en Colombia.</w:t>
            </w:r>
          </w:p>
        </w:tc>
        <w:tc>
          <w:tcPr>
            <w:tcW w:w="1392" w:type="dxa"/>
          </w:tcPr>
          <w:p w14:paraId="7EDFAC0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Colombia</w:t>
            </w:r>
          </w:p>
        </w:tc>
        <w:tc>
          <w:tcPr>
            <w:tcW w:w="2181" w:type="dxa"/>
          </w:tcPr>
          <w:p w14:paraId="65D6AAE1"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Cuantitativo, correlacional (análisis de datos secundarios)</w:t>
            </w:r>
          </w:p>
        </w:tc>
        <w:tc>
          <w:tcPr>
            <w:tcW w:w="1801" w:type="dxa"/>
          </w:tcPr>
          <w:p w14:paraId="776677F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Panel de 2,754,862 desde 2015 hasta 2021, excluyendo 2020</w:t>
            </w:r>
          </w:p>
        </w:tc>
      </w:tr>
    </w:tbl>
    <w:p w14:paraId="5D5CB993" w14:textId="77777777" w:rsidR="00DB5D88" w:rsidRDefault="00000000">
      <w:pPr>
        <w:spacing w:line="360" w:lineRule="auto"/>
        <w:jc w:val="both"/>
        <w:rPr>
          <w:rFonts w:ascii="Arial" w:eastAsia="Arial" w:hAnsi="Arial" w:cs="Arial"/>
        </w:rPr>
      </w:pPr>
      <w:r>
        <w:rPr>
          <w:rFonts w:ascii="Arial" w:eastAsia="Arial" w:hAnsi="Arial" w:cs="Arial"/>
        </w:rPr>
        <w:br/>
      </w:r>
    </w:p>
    <w:p w14:paraId="39F976F1" w14:textId="245B4B19" w:rsidR="001775FF" w:rsidRDefault="00000000">
      <w:pPr>
        <w:spacing w:line="360" w:lineRule="auto"/>
        <w:jc w:val="both"/>
        <w:rPr>
          <w:rFonts w:ascii="Arial" w:eastAsia="Arial" w:hAnsi="Arial" w:cs="Arial"/>
        </w:rPr>
      </w:pPr>
      <w:r>
        <w:rPr>
          <w:rFonts w:ascii="Arial" w:eastAsia="Arial" w:hAnsi="Arial" w:cs="Arial"/>
        </w:rPr>
        <w:t>De la Tabla 1 se obtienen tres niveles de categorías, en primer lugar, las temáticas principales que abarcan una variedad de factores relevantes para el estudio de la educación en emergencia. Entre ellas se encuentran: la educación durante la pandemia, el acceso a recursos digitales y tecnología, la planificación y políticas educativas en emergencias, el impacto socioemocional y el bienestar de los estudiantes, los desafíos educativos y la desigualdad, la evaluación y adaptabilidad de los sistemas educativos frente a la emergencia.</w:t>
      </w:r>
    </w:p>
    <w:p w14:paraId="3254C009" w14:textId="77777777" w:rsidR="001775FF" w:rsidRDefault="001775FF">
      <w:pPr>
        <w:spacing w:line="360" w:lineRule="auto"/>
        <w:jc w:val="both"/>
        <w:rPr>
          <w:rFonts w:ascii="Arial" w:eastAsia="Arial" w:hAnsi="Arial" w:cs="Arial"/>
        </w:rPr>
      </w:pPr>
    </w:p>
    <w:p w14:paraId="7857F3DB" w14:textId="77777777" w:rsidR="001775FF" w:rsidRDefault="00000000">
      <w:pPr>
        <w:spacing w:line="360" w:lineRule="auto"/>
        <w:jc w:val="both"/>
        <w:rPr>
          <w:rFonts w:ascii="Arial" w:eastAsia="Arial" w:hAnsi="Arial" w:cs="Arial"/>
        </w:rPr>
      </w:pPr>
      <w:r>
        <w:rPr>
          <w:rFonts w:ascii="Arial" w:eastAsia="Arial" w:hAnsi="Arial" w:cs="Arial"/>
        </w:rPr>
        <w:t>En segundo lugar, se identificaron otras categorías que profundizan en aspectos específicos del impacto educativo. Estas incluyen la brecha digital y acceso desigual, las estrategias educativas adoptadas durante emergencias, el impacto de la pandemia en la educación, y las políticas públicas en educación, que han jugado un papel crucial en la adaptación del sistema educativo.</w:t>
      </w:r>
    </w:p>
    <w:p w14:paraId="6133098C" w14:textId="77777777" w:rsidR="001775FF" w:rsidRDefault="001775FF">
      <w:pPr>
        <w:spacing w:line="360" w:lineRule="auto"/>
        <w:jc w:val="both"/>
        <w:rPr>
          <w:rFonts w:ascii="Arial" w:eastAsia="Arial" w:hAnsi="Arial" w:cs="Arial"/>
        </w:rPr>
      </w:pPr>
    </w:p>
    <w:p w14:paraId="7E023CC3" w14:textId="77777777" w:rsidR="001775FF" w:rsidRDefault="00000000">
      <w:pPr>
        <w:spacing w:line="360" w:lineRule="auto"/>
        <w:jc w:val="both"/>
        <w:rPr>
          <w:rFonts w:ascii="Arial" w:eastAsia="Arial" w:hAnsi="Arial" w:cs="Arial"/>
        </w:rPr>
      </w:pPr>
      <w:r>
        <w:rPr>
          <w:rFonts w:ascii="Arial" w:eastAsia="Arial" w:hAnsi="Arial" w:cs="Arial"/>
        </w:rPr>
        <w:t xml:space="preserve">Finalmente, en el nivel de palabras clave frecuentes, se destacan términos recurrentes que reflejan los temas centrales. Estos términos son: COVID-19, educación remota/virtual, brecha digital, desigualdades educativas, flexibilidad </w:t>
      </w:r>
      <w:r>
        <w:rPr>
          <w:rFonts w:ascii="Arial" w:eastAsia="Arial" w:hAnsi="Arial" w:cs="Arial"/>
        </w:rPr>
        <w:lastRenderedPageBreak/>
        <w:t>curricular e impacto socioemocional, los cuales son esenciales para comprender la naturaleza de los desafíos educativos enfrentados durante la pandemia.</w:t>
      </w:r>
    </w:p>
    <w:p w14:paraId="36E1FD2D" w14:textId="77777777" w:rsidR="001775FF" w:rsidRDefault="001775FF">
      <w:pPr>
        <w:spacing w:line="360" w:lineRule="auto"/>
        <w:jc w:val="both"/>
        <w:rPr>
          <w:rFonts w:ascii="Arial" w:eastAsia="Arial" w:hAnsi="Arial" w:cs="Arial"/>
        </w:rPr>
      </w:pPr>
    </w:p>
    <w:p w14:paraId="16BA7640" w14:textId="77777777" w:rsidR="001775FF" w:rsidRDefault="00000000">
      <w:pPr>
        <w:spacing w:line="360" w:lineRule="auto"/>
        <w:jc w:val="both"/>
        <w:rPr>
          <w:rFonts w:ascii="Arial" w:eastAsia="Arial" w:hAnsi="Arial" w:cs="Arial"/>
        </w:rPr>
      </w:pPr>
      <w:r>
        <w:rPr>
          <w:rFonts w:ascii="Arial" w:eastAsia="Arial" w:hAnsi="Arial" w:cs="Arial"/>
        </w:rPr>
        <w:t>Este análisis temático con saturación de categorías proporciona una visión integral de los factores que han influido en la educación durante la emergencia sanitaria, permitiendo comprensión de los temas relevantes y las áreas que requieren atención en futuras investigaciones y políticas educativas.</w:t>
      </w:r>
    </w:p>
    <w:p w14:paraId="0A5732FF" w14:textId="77777777" w:rsidR="001775FF" w:rsidRDefault="001775FF">
      <w:pPr>
        <w:spacing w:line="360" w:lineRule="auto"/>
        <w:jc w:val="both"/>
        <w:rPr>
          <w:rFonts w:ascii="Arial" w:eastAsia="Arial" w:hAnsi="Arial" w:cs="Arial"/>
        </w:rPr>
      </w:pPr>
    </w:p>
    <w:p w14:paraId="4E4C0786" w14:textId="77777777" w:rsidR="001775FF" w:rsidRDefault="00000000">
      <w:pPr>
        <w:spacing w:line="360" w:lineRule="auto"/>
        <w:jc w:val="both"/>
        <w:rPr>
          <w:rFonts w:ascii="Arial" w:eastAsia="Arial" w:hAnsi="Arial" w:cs="Arial"/>
          <w:b/>
        </w:rPr>
      </w:pPr>
      <w:r>
        <w:rPr>
          <w:rFonts w:ascii="Arial" w:eastAsia="Arial" w:hAnsi="Arial" w:cs="Arial"/>
          <w:b/>
        </w:rPr>
        <w:t xml:space="preserve">Revisión normativa </w:t>
      </w:r>
    </w:p>
    <w:p w14:paraId="55C983EF" w14:textId="77777777" w:rsidR="001775FF" w:rsidRDefault="00000000">
      <w:pPr>
        <w:spacing w:line="360" w:lineRule="auto"/>
        <w:jc w:val="both"/>
        <w:rPr>
          <w:rFonts w:ascii="Arial" w:eastAsia="Arial" w:hAnsi="Arial" w:cs="Arial"/>
        </w:rPr>
      </w:pPr>
      <w:r>
        <w:rPr>
          <w:rFonts w:ascii="Arial" w:eastAsia="Arial" w:hAnsi="Arial" w:cs="Arial"/>
        </w:rPr>
        <w:t>Presenta la cronología de las normativas emitidas por las autoridades de Colombia y Argentina, destacando documentos clave en la gestión de la emergencia sanitaria. Durante 2020 y 2021, otorgando una panorámica sobre las decisiones tomadas, como la creación de programas específicos y la flexibilización educativa, con énfasis en un retorno gradual a la presencialidad.</w:t>
      </w:r>
    </w:p>
    <w:p w14:paraId="2ED74303" w14:textId="77777777" w:rsidR="001775FF" w:rsidRDefault="001775FF">
      <w:pPr>
        <w:spacing w:line="360" w:lineRule="auto"/>
        <w:jc w:val="both"/>
        <w:rPr>
          <w:rFonts w:ascii="Arial" w:eastAsia="Arial" w:hAnsi="Arial" w:cs="Arial"/>
        </w:rPr>
      </w:pPr>
    </w:p>
    <w:p w14:paraId="1332A61B" w14:textId="77777777" w:rsidR="001775FF" w:rsidRDefault="00000000">
      <w:pPr>
        <w:spacing w:line="360" w:lineRule="auto"/>
        <w:jc w:val="both"/>
        <w:rPr>
          <w:rFonts w:ascii="Arial" w:eastAsia="Arial" w:hAnsi="Arial" w:cs="Arial"/>
          <w:b/>
        </w:rPr>
      </w:pPr>
      <w:r>
        <w:rPr>
          <w:rFonts w:ascii="Arial" w:eastAsia="Arial" w:hAnsi="Arial" w:cs="Arial"/>
          <w:b/>
        </w:rPr>
        <w:t>Tabla 2.</w:t>
      </w:r>
    </w:p>
    <w:p w14:paraId="191B0F63" w14:textId="77777777" w:rsidR="001775FF" w:rsidRDefault="00000000">
      <w:pPr>
        <w:spacing w:line="360" w:lineRule="auto"/>
        <w:jc w:val="both"/>
        <w:rPr>
          <w:rFonts w:ascii="Arial" w:eastAsia="Arial" w:hAnsi="Arial" w:cs="Arial"/>
          <w:b/>
          <w:i/>
        </w:rPr>
      </w:pPr>
      <w:r>
        <w:rPr>
          <w:rFonts w:ascii="Arial" w:eastAsia="Arial" w:hAnsi="Arial" w:cs="Arial"/>
          <w:i/>
        </w:rPr>
        <w:t xml:space="preserve">Cronología de las normas para el manejo de la emergencia </w:t>
      </w:r>
    </w:p>
    <w:p w14:paraId="3E29F792" w14:textId="77777777" w:rsidR="001775FF" w:rsidRDefault="001775FF">
      <w:pPr>
        <w:spacing w:after="160" w:line="360" w:lineRule="auto"/>
        <w:jc w:val="both"/>
        <w:rPr>
          <w:rFonts w:ascii="Arial" w:eastAsia="Arial" w:hAnsi="Arial" w:cs="Arial"/>
          <w:b/>
        </w:rPr>
      </w:pPr>
    </w:p>
    <w:tbl>
      <w:tblPr>
        <w:tblStyle w:val="Tablaconcuadrcula2-nfasis6"/>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1"/>
        <w:gridCol w:w="5225"/>
      </w:tblGrid>
      <w:tr w:rsidR="001775FF" w14:paraId="60FA14A0" w14:textId="77777777" w:rsidTr="00DB5D8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Borders>
              <w:top w:val="none" w:sz="0" w:space="0" w:color="auto"/>
              <w:bottom w:val="none" w:sz="0" w:space="0" w:color="auto"/>
              <w:right w:val="none" w:sz="0" w:space="0" w:color="auto"/>
            </w:tcBorders>
          </w:tcPr>
          <w:p w14:paraId="6B0B7520"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Colombia</w:t>
            </w:r>
          </w:p>
        </w:tc>
        <w:tc>
          <w:tcPr>
            <w:tcW w:w="5225" w:type="dxa"/>
            <w:tcBorders>
              <w:top w:val="none" w:sz="0" w:space="0" w:color="auto"/>
              <w:left w:val="none" w:sz="0" w:space="0" w:color="auto"/>
              <w:bottom w:val="none" w:sz="0" w:space="0" w:color="auto"/>
            </w:tcBorders>
          </w:tcPr>
          <w:p w14:paraId="31994BB4" w14:textId="77777777" w:rsidR="001775FF" w:rsidRPr="00DB5D88"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Argentina</w:t>
            </w:r>
          </w:p>
        </w:tc>
      </w:tr>
      <w:tr w:rsidR="001775FF" w14:paraId="2374A8B4"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74F62EF7"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Marzo -2020</w:t>
            </w:r>
          </w:p>
        </w:tc>
      </w:tr>
      <w:tr w:rsidR="001775FF" w14:paraId="246AF086"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4D78B55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11 (9/03/2020): Continuar actividades académicas regularmente.</w:t>
            </w:r>
          </w:p>
        </w:tc>
        <w:tc>
          <w:tcPr>
            <w:tcW w:w="5225" w:type="dxa"/>
          </w:tcPr>
          <w:p w14:paraId="2AD0B98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82 (6/03/2020): Desarrollar actividades escolares con recomendaciones preventivas.</w:t>
            </w:r>
          </w:p>
        </w:tc>
      </w:tr>
      <w:tr w:rsidR="001775FF" w14:paraId="3A37FFF8"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359A1527"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Resolución 385 (12/03/2020): Emergencia sanitaria.</w:t>
            </w:r>
          </w:p>
        </w:tc>
        <w:tc>
          <w:tcPr>
            <w:tcW w:w="5225" w:type="dxa"/>
          </w:tcPr>
          <w:p w14:paraId="732A5627"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103 (12/03/2020): Cierre de escuelas por 14 días debido a casos sospechosos de COVID-19.</w:t>
            </w:r>
          </w:p>
        </w:tc>
      </w:tr>
      <w:tr w:rsidR="001775FF" w14:paraId="54EB36D4"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116392DB"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19 (14/03/2020): Estrategias de apoyo al aprendizaje y servicios educativos.</w:t>
            </w:r>
          </w:p>
        </w:tc>
        <w:tc>
          <w:tcPr>
            <w:tcW w:w="5225" w:type="dxa"/>
          </w:tcPr>
          <w:p w14:paraId="34059328"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106 (15/03/2020): Creación del programa “Seguimos Educando” para garantizar la continuidad educativa.</w:t>
            </w:r>
          </w:p>
        </w:tc>
      </w:tr>
      <w:tr w:rsidR="001775FF" w14:paraId="7F98F956"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5EA33FED"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21 (17/03/2020): Orientaciones sobre trabajo académico en casa y gestión del personal docente.</w:t>
            </w:r>
          </w:p>
        </w:tc>
        <w:tc>
          <w:tcPr>
            <w:tcW w:w="5225" w:type="dxa"/>
          </w:tcPr>
          <w:p w14:paraId="37D849EE"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108 (16/03/2020): Suspensión de clases presenciales por 14 días en todos los niveles.</w:t>
            </w:r>
          </w:p>
        </w:tc>
      </w:tr>
      <w:tr w:rsidR="001775FF" w14:paraId="6B69B6C8"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2AA25C3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05 (25/03/2020): Orientaciones sobre trabajo académico en casa y alimentación escolar.</w:t>
            </w:r>
          </w:p>
        </w:tc>
        <w:tc>
          <w:tcPr>
            <w:tcW w:w="5225" w:type="dxa"/>
          </w:tcPr>
          <w:p w14:paraId="31B798B2"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Decreto 297 (19/03/2020): Establecimiento de cuarentena obligatoria y cierre de escuelas.</w:t>
            </w:r>
          </w:p>
        </w:tc>
      </w:tr>
      <w:tr w:rsidR="001775FF" w14:paraId="066AC28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519619DB"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Abril - mayo 2020</w:t>
            </w:r>
          </w:p>
        </w:tc>
      </w:tr>
      <w:tr w:rsidR="001775FF" w14:paraId="14FD7346"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48B4571B"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lastRenderedPageBreak/>
              <w:t>Directiva 09 (7/04/2020): Continuación del trabajo académico en casa hasta el 31 de mayo.</w:t>
            </w:r>
          </w:p>
        </w:tc>
        <w:tc>
          <w:tcPr>
            <w:tcW w:w="5225" w:type="dxa"/>
          </w:tcPr>
          <w:p w14:paraId="497E7FE6"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(25/04/2020): Flexibilización de la cuarentena.</w:t>
            </w:r>
          </w:p>
        </w:tc>
      </w:tr>
      <w:tr w:rsidR="001775FF" w14:paraId="3BD5B688"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5A3BFA4D"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Decreto 639 (8/05/2020): Creación del Programa de Apoyo al Empleo Formal (PAEF).</w:t>
            </w:r>
          </w:p>
        </w:tc>
        <w:tc>
          <w:tcPr>
            <w:tcW w:w="5225" w:type="dxa"/>
          </w:tcPr>
          <w:p w14:paraId="49FE4CD0"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363 (15/05/2020): Suspensión de la prueba APRENDER 2020.</w:t>
            </w:r>
          </w:p>
        </w:tc>
      </w:tr>
      <w:tr w:rsidR="001775FF" w14:paraId="656733CA"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10C859A0"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Decreto 662 (14/05/2020): Creación del Fondo Solidario para la Educación y medidas contra la deserción escolar.</w:t>
            </w:r>
          </w:p>
        </w:tc>
        <w:tc>
          <w:tcPr>
            <w:tcW w:w="5225" w:type="dxa"/>
          </w:tcPr>
          <w:p w14:paraId="7122F6E9" w14:textId="77777777" w:rsidR="001775FF" w:rsidRPr="00DB5D88" w:rsidRDefault="001775F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1775FF" w14:paraId="4051B8FA"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433AC2D8"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Junio – 2020</w:t>
            </w:r>
          </w:p>
        </w:tc>
      </w:tr>
      <w:tr w:rsidR="001775FF" w14:paraId="3BB85131"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1A3226DD"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012 (2/06/2020): Orientaciones para establecimientos educativos no oficiales.</w:t>
            </w:r>
          </w:p>
        </w:tc>
        <w:tc>
          <w:tcPr>
            <w:tcW w:w="5225" w:type="dxa"/>
          </w:tcPr>
          <w:p w14:paraId="1109B02C"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Acuerdo Paritario (4/06/2020): Reconocimiento del trabajo no presencial docente y formación continua.</w:t>
            </w:r>
          </w:p>
        </w:tc>
      </w:tr>
      <w:tr w:rsidR="001775FF" w14:paraId="542F4ED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290F8A09"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Julio - septiembre 2020</w:t>
            </w:r>
          </w:p>
        </w:tc>
      </w:tr>
      <w:tr w:rsidR="001775FF" w14:paraId="56A1741D"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35EF6FB5"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016 (9/10/2020): Orientaciones para la implementación del plan de alternancia educativa.</w:t>
            </w:r>
          </w:p>
        </w:tc>
        <w:tc>
          <w:tcPr>
            <w:tcW w:w="5225" w:type="dxa"/>
          </w:tcPr>
          <w:p w14:paraId="3D9D4D0B"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366 (1/09/2020): Modalidades combinadas de presencialidad y no presencialidad.</w:t>
            </w:r>
          </w:p>
        </w:tc>
      </w:tr>
      <w:tr w:rsidR="001775FF" w14:paraId="7E560B01"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0AF0639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017 (17/11/2020): Uso de recursos del Fondo de Emergencias para la alternancia.</w:t>
            </w:r>
          </w:p>
        </w:tc>
        <w:tc>
          <w:tcPr>
            <w:tcW w:w="5225" w:type="dxa"/>
          </w:tcPr>
          <w:p w14:paraId="43285BC9"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369 (1/09/2020): Implementación del programa ACOMPAÑAR para reanudar trayectorias educativas interrumpidas.</w:t>
            </w:r>
          </w:p>
        </w:tc>
      </w:tr>
      <w:tr w:rsidR="001775FF" w14:paraId="4BDF8404"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45F10F29"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Noviembre 2020 - enero 2021</w:t>
            </w:r>
          </w:p>
        </w:tc>
      </w:tr>
      <w:tr w:rsidR="001775FF" w14:paraId="1515C5C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58D86B69"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018 (28/12/2020): Implementación de planes de alternancia 2021.</w:t>
            </w:r>
          </w:p>
        </w:tc>
        <w:tc>
          <w:tcPr>
            <w:tcW w:w="5225" w:type="dxa"/>
          </w:tcPr>
          <w:p w14:paraId="019D92CF"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125 (20/11/2020): Autorización de grados presenciales según realidades sanitarias.</w:t>
            </w:r>
          </w:p>
        </w:tc>
      </w:tr>
      <w:tr w:rsidR="001775FF" w14:paraId="593A457A"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7F501337"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Decreto 109 (29/01/2021): Plan Nacional de Vacunación.</w:t>
            </w:r>
          </w:p>
        </w:tc>
        <w:tc>
          <w:tcPr>
            <w:tcW w:w="5225" w:type="dxa"/>
          </w:tcPr>
          <w:p w14:paraId="3DFE20BA" w14:textId="77777777" w:rsidR="001775FF" w:rsidRPr="00DB5D88" w:rsidRDefault="001775F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1775FF" w14:paraId="25D43E67"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2B884538"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Febrero - junio 2021</w:t>
            </w:r>
          </w:p>
        </w:tc>
      </w:tr>
      <w:tr w:rsidR="001775FF" w14:paraId="0626521A"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4731" w:type="dxa"/>
          </w:tcPr>
          <w:p w14:paraId="5A6AACB7"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Directiva 1 (11/02/2021): Información sobre personal educativo no oficial para el Plan Nacional de Vacunación.</w:t>
            </w:r>
          </w:p>
        </w:tc>
        <w:tc>
          <w:tcPr>
            <w:tcW w:w="5225" w:type="dxa"/>
          </w:tcPr>
          <w:p w14:paraId="4970C444" w14:textId="77777777" w:rsidR="001775FF" w:rsidRPr="00DB5D88"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386 (13/02/2021): Priorización de clases presenciales.</w:t>
            </w:r>
          </w:p>
        </w:tc>
      </w:tr>
      <w:tr w:rsidR="001775FF" w14:paraId="4327D13D"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07286A6B"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009 (21/04/2021): Retorno gradual a la presencialidad bajo esquema de alternancia.</w:t>
            </w:r>
          </w:p>
        </w:tc>
        <w:tc>
          <w:tcPr>
            <w:tcW w:w="5225" w:type="dxa"/>
          </w:tcPr>
          <w:p w14:paraId="34873C7A"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394 (4/05/2021): Priorización de la presencialidad y alternativas para la educación no presencial.</w:t>
            </w:r>
          </w:p>
        </w:tc>
      </w:tr>
      <w:tr w:rsidR="001775FF" w14:paraId="426E2645"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6992DE7C"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Agosto - septiembre 2021</w:t>
            </w:r>
          </w:p>
        </w:tc>
      </w:tr>
      <w:tr w:rsidR="001775FF" w14:paraId="7AE6AB13"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16BEFC23"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21 (12/08/2021): Asignación de recursos FOME para garantizar la bioseguridad en sedes educativas.</w:t>
            </w:r>
          </w:p>
        </w:tc>
        <w:tc>
          <w:tcPr>
            <w:tcW w:w="5225" w:type="dxa"/>
          </w:tcPr>
          <w:p w14:paraId="37DB80BD"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400 (26/08/2021): Modificación del protocolo educativo ante la disminución de la emergencia sanitaria.</w:t>
            </w:r>
          </w:p>
        </w:tc>
      </w:tr>
      <w:tr w:rsidR="001775FF" w14:paraId="2692A187" w14:textId="77777777" w:rsidTr="00DB5D88">
        <w:trPr>
          <w:trHeight w:val="315"/>
        </w:trPr>
        <w:tc>
          <w:tcPr>
            <w:cnfStyle w:val="001000000000" w:firstRow="0" w:lastRow="0" w:firstColumn="1" w:lastColumn="0" w:oddVBand="0" w:evenVBand="0" w:oddHBand="0" w:evenHBand="0" w:firstRowFirstColumn="0" w:firstRowLastColumn="0" w:lastRowFirstColumn="0" w:lastRowLastColumn="0"/>
            <w:tcW w:w="9956" w:type="dxa"/>
            <w:gridSpan w:val="2"/>
          </w:tcPr>
          <w:p w14:paraId="7E3DDEA0" w14:textId="77777777" w:rsidR="001775FF" w:rsidRPr="00DB5D88" w:rsidRDefault="00000000">
            <w:pPr>
              <w:spacing w:line="360" w:lineRule="auto"/>
              <w:jc w:val="center"/>
              <w:rPr>
                <w:rFonts w:ascii="Arial" w:eastAsia="Arial" w:hAnsi="Arial" w:cs="Arial"/>
                <w:sz w:val="20"/>
                <w:szCs w:val="20"/>
              </w:rPr>
            </w:pPr>
            <w:r w:rsidRPr="00DB5D88">
              <w:rPr>
                <w:rFonts w:ascii="Arial" w:eastAsia="Arial" w:hAnsi="Arial" w:cs="Arial"/>
                <w:sz w:val="20"/>
                <w:szCs w:val="20"/>
              </w:rPr>
              <w:t>Septiembre 2021</w:t>
            </w:r>
          </w:p>
        </w:tc>
      </w:tr>
      <w:tr w:rsidR="001775FF" w14:paraId="5C936A60" w14:textId="77777777" w:rsidTr="00DB5D8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31" w:type="dxa"/>
          </w:tcPr>
          <w:p w14:paraId="624B8631" w14:textId="77777777" w:rsidR="001775FF" w:rsidRPr="00DB5D88" w:rsidRDefault="00000000">
            <w:pPr>
              <w:spacing w:line="360" w:lineRule="auto"/>
              <w:jc w:val="both"/>
              <w:rPr>
                <w:rFonts w:ascii="Arial" w:eastAsia="Arial" w:hAnsi="Arial" w:cs="Arial"/>
                <w:sz w:val="20"/>
                <w:szCs w:val="20"/>
              </w:rPr>
            </w:pPr>
            <w:r w:rsidRPr="00DB5D88">
              <w:rPr>
                <w:rFonts w:ascii="Arial" w:eastAsia="Arial" w:hAnsi="Arial" w:cs="Arial"/>
                <w:b w:val="0"/>
                <w:sz w:val="20"/>
                <w:szCs w:val="20"/>
              </w:rPr>
              <w:t>Circular externa 047 (23/09/2021): Promoción de vacunación en jóvenes de 12 a 24 años.</w:t>
            </w:r>
          </w:p>
        </w:tc>
        <w:tc>
          <w:tcPr>
            <w:tcW w:w="5225" w:type="dxa"/>
          </w:tcPr>
          <w:p w14:paraId="0667F0F4" w14:textId="77777777" w:rsidR="001775FF" w:rsidRPr="00DB5D88"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B5D88">
              <w:rPr>
                <w:rFonts w:ascii="Arial" w:eastAsia="Arial" w:hAnsi="Arial" w:cs="Arial"/>
                <w:sz w:val="20"/>
                <w:szCs w:val="20"/>
              </w:rPr>
              <w:t>Resolución 404 (23/09/2021): Recomendación de retorno pleno a la presencialidad.</w:t>
            </w:r>
          </w:p>
        </w:tc>
      </w:tr>
    </w:tbl>
    <w:p w14:paraId="1E64C563" w14:textId="77777777" w:rsidR="001775FF" w:rsidRDefault="001775FF">
      <w:pPr>
        <w:spacing w:after="160" w:line="360" w:lineRule="auto"/>
        <w:jc w:val="both"/>
        <w:rPr>
          <w:rFonts w:ascii="Arial" w:eastAsia="Arial" w:hAnsi="Arial" w:cs="Arial"/>
          <w:b/>
        </w:rPr>
      </w:pPr>
    </w:p>
    <w:p w14:paraId="1AF518A5" w14:textId="77777777" w:rsidR="001775FF" w:rsidRDefault="00000000">
      <w:pPr>
        <w:spacing w:after="160" w:line="360" w:lineRule="auto"/>
        <w:jc w:val="both"/>
        <w:rPr>
          <w:rFonts w:ascii="Arial" w:eastAsia="Arial" w:hAnsi="Arial" w:cs="Arial"/>
          <w:i/>
        </w:rPr>
      </w:pPr>
      <w:r>
        <w:rPr>
          <w:rFonts w:ascii="Arial" w:eastAsia="Arial" w:hAnsi="Arial" w:cs="Arial"/>
          <w:i/>
        </w:rPr>
        <w:lastRenderedPageBreak/>
        <w:t xml:space="preserve">Fuente elaboración propia </w:t>
      </w:r>
    </w:p>
    <w:p w14:paraId="47BF35D4" w14:textId="77777777" w:rsidR="001775FF" w:rsidRDefault="00000000">
      <w:pPr>
        <w:spacing w:after="160" w:line="360" w:lineRule="auto"/>
        <w:jc w:val="both"/>
        <w:rPr>
          <w:rFonts w:ascii="Arial" w:eastAsia="Arial" w:hAnsi="Arial" w:cs="Arial"/>
        </w:rPr>
      </w:pPr>
      <w:r>
        <w:rPr>
          <w:rFonts w:ascii="Arial" w:eastAsia="Arial" w:hAnsi="Arial" w:cs="Arial"/>
        </w:rPr>
        <w:t xml:space="preserve">El análisis de la tabla 2 revela la evolución de las políticas en respuesta a la emergencia sanitaria, destacando similitudes y diferencias en las estrategias adoptadas por Colombia y Argentina. En ambos países las medidas se enfocaron en la continuidad educativa, con una rápida implementación de programas como “Aprende en Casa” (Colombia) y “Seguimos Educando” (Argentina). Aunque eficaces, no resolvieron la brecha digital existente, especialmente en las zonas rurales. Argentina, por su parte, adoptó un enfoque más flexible y adaptativo, que incorporó una mayor diversidad de recursos digitales y no digitales, y promovió la presencialidad en zonas con menor riesgo sanitario. </w:t>
      </w:r>
    </w:p>
    <w:p w14:paraId="0D80CF39" w14:textId="77777777" w:rsidR="001775FF" w:rsidRDefault="00000000">
      <w:pPr>
        <w:spacing w:line="360" w:lineRule="auto"/>
        <w:jc w:val="both"/>
        <w:rPr>
          <w:rFonts w:ascii="Arial" w:eastAsia="Arial" w:hAnsi="Arial" w:cs="Arial"/>
        </w:rPr>
      </w:pPr>
      <w:r>
        <w:rPr>
          <w:rFonts w:ascii="Arial" w:eastAsia="Arial" w:hAnsi="Arial" w:cs="Arial"/>
        </w:rPr>
        <w:t>Este análisis cronológico permite identificar al menos cinco momentos importantes que coinciden en ambos países.</w:t>
      </w:r>
    </w:p>
    <w:p w14:paraId="219A82F1" w14:textId="77777777" w:rsidR="001775FF" w:rsidRDefault="001775FF">
      <w:pPr>
        <w:spacing w:line="360" w:lineRule="auto"/>
        <w:jc w:val="both"/>
        <w:rPr>
          <w:rFonts w:ascii="Arial" w:eastAsia="Arial" w:hAnsi="Arial" w:cs="Arial"/>
        </w:rPr>
      </w:pPr>
    </w:p>
    <w:p w14:paraId="3F9E2B19" w14:textId="06B3ED88" w:rsidR="001775FF" w:rsidRDefault="00000000">
      <w:pPr>
        <w:spacing w:line="360" w:lineRule="auto"/>
        <w:jc w:val="both"/>
        <w:rPr>
          <w:rFonts w:ascii="Arial" w:eastAsia="Arial" w:hAnsi="Arial" w:cs="Arial"/>
          <w:b/>
        </w:rPr>
      </w:pPr>
      <w:r>
        <w:rPr>
          <w:rFonts w:ascii="Arial" w:eastAsia="Arial" w:hAnsi="Arial" w:cs="Arial"/>
          <w:b/>
        </w:rPr>
        <w:t xml:space="preserve">Figura 2. </w:t>
      </w:r>
      <w:r w:rsidR="00DB5D88">
        <w:rPr>
          <w:rFonts w:ascii="Arial" w:eastAsia="Arial" w:hAnsi="Arial" w:cs="Arial"/>
          <w:noProof/>
        </w:rPr>
        <w:drawing>
          <wp:inline distT="0" distB="0" distL="0" distR="0" wp14:anchorId="3FAC3D51" wp14:editId="155A3DF6">
            <wp:extent cx="5612130" cy="4209415"/>
            <wp:effectExtent l="0" t="0" r="1270" b="0"/>
            <wp:docPr id="20601682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612130" cy="4209415"/>
                    </a:xfrm>
                    <a:prstGeom prst="rect">
                      <a:avLst/>
                    </a:prstGeom>
                    <a:ln/>
                  </pic:spPr>
                </pic:pic>
              </a:graphicData>
            </a:graphic>
          </wp:inline>
        </w:drawing>
      </w:r>
    </w:p>
    <w:p w14:paraId="31E825DD" w14:textId="02EDDE4B" w:rsidR="001775FF" w:rsidRDefault="00000000">
      <w:pPr>
        <w:spacing w:line="360" w:lineRule="auto"/>
        <w:jc w:val="both"/>
        <w:rPr>
          <w:rFonts w:ascii="Arial" w:eastAsia="Arial" w:hAnsi="Arial" w:cs="Arial"/>
          <w:i/>
        </w:rPr>
      </w:pPr>
      <w:r>
        <w:rPr>
          <w:rFonts w:ascii="Arial" w:eastAsia="Arial" w:hAnsi="Arial" w:cs="Arial"/>
          <w:i/>
        </w:rPr>
        <w:lastRenderedPageBreak/>
        <w:t xml:space="preserve">Momentos claves en la gestión normativa de la emergencia </w:t>
      </w:r>
    </w:p>
    <w:p w14:paraId="32016993" w14:textId="1655D54E" w:rsidR="001775FF" w:rsidRDefault="001775FF">
      <w:pPr>
        <w:spacing w:line="360" w:lineRule="auto"/>
        <w:jc w:val="center"/>
        <w:rPr>
          <w:rFonts w:ascii="Arial" w:eastAsia="Arial" w:hAnsi="Arial" w:cs="Arial"/>
        </w:rPr>
      </w:pPr>
    </w:p>
    <w:p w14:paraId="7B3C0185" w14:textId="77777777" w:rsidR="001775FF" w:rsidRDefault="00000000">
      <w:pPr>
        <w:spacing w:line="360" w:lineRule="auto"/>
        <w:jc w:val="both"/>
        <w:rPr>
          <w:rFonts w:ascii="Arial" w:eastAsia="Arial" w:hAnsi="Arial" w:cs="Arial"/>
          <w:i/>
        </w:rPr>
      </w:pPr>
      <w:r>
        <w:rPr>
          <w:rFonts w:ascii="Arial" w:eastAsia="Arial" w:hAnsi="Arial" w:cs="Arial"/>
          <w:i/>
        </w:rPr>
        <w:t xml:space="preserve">Fuente Elaboración propia. </w:t>
      </w:r>
    </w:p>
    <w:p w14:paraId="48133258" w14:textId="77777777" w:rsidR="001775FF" w:rsidRDefault="001775FF">
      <w:pPr>
        <w:spacing w:line="360" w:lineRule="auto"/>
        <w:jc w:val="both"/>
        <w:rPr>
          <w:rFonts w:ascii="Arial" w:eastAsia="Arial" w:hAnsi="Arial" w:cs="Arial"/>
        </w:rPr>
      </w:pPr>
    </w:p>
    <w:p w14:paraId="237F2A85" w14:textId="77777777" w:rsidR="001775FF" w:rsidRDefault="00000000">
      <w:pPr>
        <w:spacing w:after="160" w:line="360" w:lineRule="auto"/>
        <w:jc w:val="both"/>
        <w:rPr>
          <w:rFonts w:ascii="Arial" w:eastAsia="Arial" w:hAnsi="Arial" w:cs="Arial"/>
        </w:rPr>
      </w:pPr>
      <w:r>
        <w:rPr>
          <w:rFonts w:ascii="Arial" w:eastAsia="Arial" w:hAnsi="Arial" w:cs="Arial"/>
        </w:rPr>
        <w:t>La figura muestra que, las medidas de Colombia y Argentina coincidieron en momentos clave como la suspensión de clases presenciales. Además, presenta como la respuesta a la emergencia fue influenciada por las realidades sociales y tecnológicas de cada país, y destaca la necesidad de políticas que prioricen la equidad educativa en futuras emergencias, lo cual se alinea con las recomendaciones de estudios previos sobre la importancia de adaptar las estrategias a los contextos locales (Sánchez, 2021).</w:t>
      </w:r>
    </w:p>
    <w:p w14:paraId="608EEDE8" w14:textId="77777777" w:rsidR="001775FF" w:rsidRDefault="001775FF">
      <w:pPr>
        <w:spacing w:line="360" w:lineRule="auto"/>
        <w:jc w:val="both"/>
        <w:rPr>
          <w:rFonts w:ascii="Arial" w:eastAsia="Arial" w:hAnsi="Arial" w:cs="Arial"/>
        </w:rPr>
      </w:pPr>
    </w:p>
    <w:p w14:paraId="6649C2F5" w14:textId="77777777" w:rsidR="001775FF" w:rsidRDefault="00000000">
      <w:pPr>
        <w:spacing w:after="160" w:line="360" w:lineRule="auto"/>
        <w:jc w:val="both"/>
        <w:rPr>
          <w:rFonts w:ascii="Arial" w:eastAsia="Arial" w:hAnsi="Arial" w:cs="Arial"/>
          <w:b/>
        </w:rPr>
      </w:pPr>
      <w:r>
        <w:rPr>
          <w:rFonts w:ascii="Arial" w:eastAsia="Arial" w:hAnsi="Arial" w:cs="Arial"/>
          <w:b/>
        </w:rPr>
        <w:t>Discusión</w:t>
      </w:r>
    </w:p>
    <w:p w14:paraId="36C91D80" w14:textId="77777777" w:rsidR="001775FF" w:rsidRDefault="00000000" w:rsidP="00DB5D88">
      <w:pPr>
        <w:spacing w:after="160" w:line="360" w:lineRule="auto"/>
        <w:ind w:firstLine="720"/>
        <w:jc w:val="both"/>
        <w:rPr>
          <w:rFonts w:ascii="Arial" w:eastAsia="Arial" w:hAnsi="Arial" w:cs="Arial"/>
        </w:rPr>
      </w:pPr>
      <w:r>
        <w:rPr>
          <w:rFonts w:ascii="Arial" w:eastAsia="Arial" w:hAnsi="Arial" w:cs="Arial"/>
        </w:rPr>
        <w:t>A pesar de las orientaciones de ambos gobiernos, la falta de infraestructura tecnológica evidenció importantes limitaciones en el sector educativo (</w:t>
      </w:r>
      <w:proofErr w:type="spellStart"/>
      <w:r>
        <w:rPr>
          <w:rFonts w:ascii="Arial" w:eastAsia="Arial" w:hAnsi="Arial" w:cs="Arial"/>
        </w:rPr>
        <w:t>Rega</w:t>
      </w:r>
      <w:proofErr w:type="spellEnd"/>
      <w:r>
        <w:rPr>
          <w:rFonts w:ascii="Arial" w:eastAsia="Arial" w:hAnsi="Arial" w:cs="Arial"/>
        </w:rPr>
        <w:t xml:space="preserve"> et al., 2021). Aunque algunos estudiantes lograron adaptarse a las nuevas modalidades, una parte considerable de la población vulnerable quedó excluida debido a la insuficiencia de recursos tecnológicos (</w:t>
      </w:r>
      <w:proofErr w:type="spellStart"/>
      <w:r>
        <w:rPr>
          <w:rFonts w:ascii="Arial" w:eastAsia="Arial" w:hAnsi="Arial" w:cs="Arial"/>
        </w:rPr>
        <w:t>Hordatt</w:t>
      </w:r>
      <w:proofErr w:type="spellEnd"/>
      <w:r>
        <w:rPr>
          <w:rFonts w:ascii="Arial" w:eastAsia="Arial" w:hAnsi="Arial" w:cs="Arial"/>
        </w:rPr>
        <w:t xml:space="preserve"> et al., 2021; </w:t>
      </w:r>
      <w:proofErr w:type="spellStart"/>
      <w:r>
        <w:rPr>
          <w:rFonts w:ascii="Arial" w:eastAsia="Arial" w:hAnsi="Arial" w:cs="Arial"/>
        </w:rPr>
        <w:t>Raby</w:t>
      </w:r>
      <w:proofErr w:type="spellEnd"/>
      <w:r>
        <w:rPr>
          <w:rFonts w:ascii="Arial" w:eastAsia="Arial" w:hAnsi="Arial" w:cs="Arial"/>
        </w:rPr>
        <w:t xml:space="preserve"> et al., 2021). Esta situación destacó la desconexión entre las políticas educativas y las realidades sociales. Estas dificultades adicionales contribuyeron al aumento del abandono escolar (</w:t>
      </w:r>
      <w:proofErr w:type="spellStart"/>
      <w:r>
        <w:rPr>
          <w:rFonts w:ascii="Arial" w:eastAsia="Arial" w:hAnsi="Arial" w:cs="Arial"/>
        </w:rPr>
        <w:t>Rotondi</w:t>
      </w:r>
      <w:proofErr w:type="spellEnd"/>
      <w:r>
        <w:rPr>
          <w:rFonts w:ascii="Arial" w:eastAsia="Arial" w:hAnsi="Arial" w:cs="Arial"/>
        </w:rPr>
        <w:t xml:space="preserve"> et al, 2021; Gandolfi et al., 2021; </w:t>
      </w:r>
      <w:proofErr w:type="spellStart"/>
      <w:r>
        <w:rPr>
          <w:rFonts w:ascii="Arial" w:eastAsia="Arial" w:hAnsi="Arial" w:cs="Arial"/>
        </w:rPr>
        <w:t>Smythe</w:t>
      </w:r>
      <w:proofErr w:type="spellEnd"/>
      <w:r>
        <w:rPr>
          <w:rFonts w:ascii="Arial" w:eastAsia="Arial" w:hAnsi="Arial" w:cs="Arial"/>
        </w:rPr>
        <w:t xml:space="preserve"> et al., 2021).</w:t>
      </w:r>
    </w:p>
    <w:p w14:paraId="5C7D91F0" w14:textId="77777777" w:rsidR="001775FF" w:rsidRDefault="00000000">
      <w:pPr>
        <w:spacing w:after="160" w:line="360" w:lineRule="auto"/>
        <w:jc w:val="both"/>
        <w:rPr>
          <w:rFonts w:ascii="Arial" w:eastAsia="Arial" w:hAnsi="Arial" w:cs="Arial"/>
        </w:rPr>
      </w:pPr>
      <w:r>
        <w:rPr>
          <w:rFonts w:ascii="Arial" w:eastAsia="Arial" w:hAnsi="Arial" w:cs="Arial"/>
        </w:rPr>
        <w:t xml:space="preserve">Si bien la implementación de plataformas digitales fue eficaz en áreas urbanas con conectividad adecuada, las desigualdades tecnológicas se convirtieron en un factor crítico. Esto demostró que las estrategias basadas en tecnología no lograron ser inclusivas para las poblaciones más vulnerables (Jameson et al., 2020). Esta situación fue abordada parcialmente por los gobiernos mediante la entrega de recursos relacionados con la conectividad y dispositivos, tanto a docentes, como a estudiantes (E1, comunicación personal, 19-09-2024). Esto pone de relieve la necesidad de considerar las condiciones socioeconómicas y las brechas digitales al formular políticas educativas (INEE, 2010; </w:t>
      </w:r>
      <w:proofErr w:type="spellStart"/>
      <w:r>
        <w:rPr>
          <w:rFonts w:ascii="Arial" w:eastAsia="Arial" w:hAnsi="Arial" w:cs="Arial"/>
        </w:rPr>
        <w:t>Alucin</w:t>
      </w:r>
      <w:proofErr w:type="spellEnd"/>
      <w:r>
        <w:rPr>
          <w:rFonts w:ascii="Arial" w:eastAsia="Arial" w:hAnsi="Arial" w:cs="Arial"/>
        </w:rPr>
        <w:t xml:space="preserve"> &amp; </w:t>
      </w:r>
      <w:proofErr w:type="spellStart"/>
      <w:r>
        <w:rPr>
          <w:rFonts w:ascii="Arial" w:eastAsia="Arial" w:hAnsi="Arial" w:cs="Arial"/>
        </w:rPr>
        <w:t>Monjelat</w:t>
      </w:r>
      <w:proofErr w:type="spellEnd"/>
      <w:r>
        <w:rPr>
          <w:rFonts w:ascii="Arial" w:eastAsia="Arial" w:hAnsi="Arial" w:cs="Arial"/>
        </w:rPr>
        <w:t>, 2023).</w:t>
      </w:r>
    </w:p>
    <w:p w14:paraId="5854873E" w14:textId="77777777" w:rsidR="001775FF" w:rsidRDefault="00000000">
      <w:pPr>
        <w:spacing w:after="160" w:line="360" w:lineRule="auto"/>
        <w:jc w:val="both"/>
        <w:rPr>
          <w:rFonts w:ascii="Arial" w:eastAsia="Arial" w:hAnsi="Arial" w:cs="Arial"/>
        </w:rPr>
      </w:pPr>
      <w:r>
        <w:rPr>
          <w:rFonts w:ascii="Arial" w:eastAsia="Arial" w:hAnsi="Arial" w:cs="Arial"/>
        </w:rPr>
        <w:lastRenderedPageBreak/>
        <w:t>Ante la barrera digital, algunas instituciones optaron por la distribución de materiales impresos, como guías de trabajo o cuadernillos (E2, comunicación personal, 24-09-2024; E3, comunicación personal, 15-10-2024). Este enfoque alternativo estuvo relacionado con decisiones tomadas a nivel de las comunidades educativas, que en algunos casos incumplieron los aislamientos. Formaron redes comunitarias informales para distribuir materiales impresos, abrir escuelas o recolectar y entregar celulares, entre otras acciones (E1, comunicación personal, 19-09-2024; E2, comunicación personal, 24-09-2024; E3, comunicación personal, 15-10-2024). Aunque este apoyo comunitario fue valioso para gestionar la emergencia, también incrementó la propagación del virus, principalmente entre los docentes.</w:t>
      </w:r>
    </w:p>
    <w:p w14:paraId="3DD5344F" w14:textId="77777777" w:rsidR="001775FF" w:rsidRDefault="00000000">
      <w:pPr>
        <w:spacing w:after="160" w:line="360" w:lineRule="auto"/>
        <w:jc w:val="both"/>
        <w:rPr>
          <w:rFonts w:ascii="Arial" w:eastAsia="Arial" w:hAnsi="Arial" w:cs="Arial"/>
        </w:rPr>
      </w:pPr>
      <w:r>
        <w:rPr>
          <w:rFonts w:ascii="Arial" w:eastAsia="Arial" w:hAnsi="Arial" w:cs="Arial"/>
        </w:rPr>
        <w:t>Además, las normas impuestas en algunas comunidades no tomaron en cuenta a los actores educativos, lo que generó una desconexión con la realidad. Esto afectó la percepción de legitimidad de las normas. En algunos casos, las normas fueron incumplibles debido a la falta de medios, como ocurrió con los estudiantes que, a pesar de la orden de aislamiento, se reunían espontáneamente alrededor de las escuelas para conectarse a internet y acceder a recursos educativos (E2, comunicación personal, 24-09-2024; E3, comunicación personal, 15-10-2024).</w:t>
      </w:r>
    </w:p>
    <w:p w14:paraId="37448BEC" w14:textId="77777777" w:rsidR="001775FF" w:rsidRDefault="00000000">
      <w:pPr>
        <w:spacing w:after="160" w:line="360" w:lineRule="auto"/>
        <w:jc w:val="both"/>
        <w:rPr>
          <w:rFonts w:ascii="Arial" w:eastAsia="Arial" w:hAnsi="Arial" w:cs="Arial"/>
        </w:rPr>
      </w:pPr>
      <w:r>
        <w:rPr>
          <w:rFonts w:ascii="Arial" w:eastAsia="Arial" w:hAnsi="Arial" w:cs="Arial"/>
        </w:rPr>
        <w:t xml:space="preserve">Aunque los medios tradicionales como la radio y la televisión fueron estrategias valiosas, su alcance fue limitado en muchas áreas rurales donde no estuvieron disponibles. Esta situación, junto con la falta de interacción con los docentes, promovió un aumento del abandono escolar. En estos territorios, las estrategias implementadas no se adaptaron adecuadamente a las realidades comunitarias, resultando inadecuadas para cubrir las necesidades educativas locales (Paulin et al, 2021; Morales, 2011; Romero et al., 2023; </w:t>
      </w:r>
      <w:proofErr w:type="spellStart"/>
      <w:r>
        <w:rPr>
          <w:rFonts w:ascii="Arial" w:eastAsia="Arial" w:hAnsi="Arial" w:cs="Arial"/>
        </w:rPr>
        <w:t>Dabenigno</w:t>
      </w:r>
      <w:proofErr w:type="spellEnd"/>
      <w:r>
        <w:rPr>
          <w:rFonts w:ascii="Arial" w:eastAsia="Arial" w:hAnsi="Arial" w:cs="Arial"/>
        </w:rPr>
        <w:t xml:space="preserve"> et al., 2021; Vegas, 2022).</w:t>
      </w:r>
    </w:p>
    <w:p w14:paraId="5BB8B2AD" w14:textId="77777777" w:rsidR="001775FF" w:rsidRDefault="00000000">
      <w:pPr>
        <w:spacing w:after="160" w:line="360" w:lineRule="auto"/>
        <w:jc w:val="both"/>
        <w:rPr>
          <w:rFonts w:ascii="Arial" w:eastAsia="Arial" w:hAnsi="Arial" w:cs="Arial"/>
        </w:rPr>
      </w:pPr>
      <w:r>
        <w:rPr>
          <w:rFonts w:ascii="Arial" w:eastAsia="Arial" w:hAnsi="Arial" w:cs="Arial"/>
        </w:rPr>
        <w:t xml:space="preserve">Si bien la implementación de estas estrategias fue necesaria y mitigó las afectaciones derivadas de los cierres de escuelas, la continuidad en condiciones insuficientes generó tensiones que afectaron a las comunidades educativas. Los directivos se mostraron preocupados por el control del cumplimiento de las funciones laborales de los docentes (E3, comunicación personal, 15-10-2024), mientras que los docentes enfrentaron el desafío de continuar con la prestación del </w:t>
      </w:r>
      <w:r>
        <w:rPr>
          <w:rFonts w:ascii="Arial" w:eastAsia="Arial" w:hAnsi="Arial" w:cs="Arial"/>
        </w:rPr>
        <w:lastRenderedPageBreak/>
        <w:t>servicio educativo en un entorno desconocido, sin la infraestructura ni los conocimientos necesarios para realizar actividades digitales (E2, comunicación personal, 24-09-2024). Las familias, por su parte, sintieron sobrecarga por las demandas académicas, asumiendo funciones para las que no estaban preparadas. Incluso algunos cuidadores consideraban el acompañamiento escolar como algo fuera de su responsabilidad (E2, comunicación personal, 24-09-2024; E3, comunicación personal, 15-10-2024). Los estudiantes también sufrieron por los cambios abruptos, el aislamiento, las tensiones familiares y la falta de recursos (E1, comunicación personal, 19-09-2024).</w:t>
      </w:r>
    </w:p>
    <w:p w14:paraId="57AB7DCC" w14:textId="77777777" w:rsidR="001775FF" w:rsidRDefault="00000000">
      <w:pPr>
        <w:spacing w:after="160" w:line="360" w:lineRule="auto"/>
        <w:jc w:val="both"/>
        <w:rPr>
          <w:rFonts w:ascii="Arial" w:eastAsia="Arial" w:hAnsi="Arial" w:cs="Arial"/>
        </w:rPr>
      </w:pPr>
      <w:r>
        <w:rPr>
          <w:rFonts w:ascii="Arial" w:eastAsia="Arial" w:hAnsi="Arial" w:cs="Arial"/>
        </w:rPr>
        <w:t>Finalmente, la emergencia sanitaria evidenció que los sistemas educativos de Colombia y Argentina no estaban preparados para enfrentar emergencias de tal magnitud. Por lo tanto, este estudio destaca la urgencia de implementar políticas públicas que aborden las desigualdades tecnológicas y socioeconómicas, promoviendo la resiliencia del sistema educativo ante situaciones adversas (Luna &amp; Martínez, 2022; Caicedo &amp; Zuluaga, 2015). Las experiencias recopiladas durante esta emergencia ofrecen un marco para la formulación de políticas y prácticas futuras, así como la necesidad de incorporar el análisis del riesgo como componente central en la planificación educativa para abordar tanto las amenazas como las vulnerabilidades del contexto educativo (</w:t>
      </w:r>
      <w:proofErr w:type="spellStart"/>
      <w:r>
        <w:rPr>
          <w:rFonts w:ascii="Arial" w:eastAsia="Arial" w:hAnsi="Arial" w:cs="Arial"/>
        </w:rPr>
        <w:t>Lavell</w:t>
      </w:r>
      <w:proofErr w:type="spellEnd"/>
      <w:r>
        <w:rPr>
          <w:rFonts w:ascii="Arial" w:eastAsia="Arial" w:hAnsi="Arial" w:cs="Arial"/>
        </w:rPr>
        <w:t>, 2000; INEE, 2010).</w:t>
      </w:r>
    </w:p>
    <w:p w14:paraId="63AFE6F8" w14:textId="77777777" w:rsidR="00DB5D88" w:rsidRDefault="00DB5D88">
      <w:pPr>
        <w:spacing w:after="160" w:line="360" w:lineRule="auto"/>
        <w:jc w:val="both"/>
        <w:rPr>
          <w:rFonts w:ascii="Arial" w:eastAsia="Arial" w:hAnsi="Arial" w:cs="Arial"/>
          <w:b/>
        </w:rPr>
      </w:pPr>
    </w:p>
    <w:p w14:paraId="6905EAFA" w14:textId="3E231A2C" w:rsidR="001775FF" w:rsidRDefault="00000000">
      <w:pPr>
        <w:spacing w:after="160" w:line="360" w:lineRule="auto"/>
        <w:jc w:val="both"/>
        <w:rPr>
          <w:rFonts w:ascii="Arial" w:eastAsia="Arial" w:hAnsi="Arial" w:cs="Arial"/>
          <w:b/>
        </w:rPr>
      </w:pPr>
      <w:r>
        <w:rPr>
          <w:rFonts w:ascii="Arial" w:eastAsia="Arial" w:hAnsi="Arial" w:cs="Arial"/>
          <w:b/>
        </w:rPr>
        <w:t>Conclusiones</w:t>
      </w:r>
    </w:p>
    <w:p w14:paraId="231459EE" w14:textId="77777777" w:rsidR="001775FF" w:rsidRDefault="00000000" w:rsidP="00DB5D88">
      <w:pPr>
        <w:spacing w:after="160" w:line="360" w:lineRule="auto"/>
        <w:ind w:firstLine="720"/>
        <w:jc w:val="both"/>
        <w:rPr>
          <w:rFonts w:ascii="Arial" w:eastAsia="Arial" w:hAnsi="Arial" w:cs="Arial"/>
        </w:rPr>
      </w:pPr>
      <w:r>
        <w:rPr>
          <w:rFonts w:ascii="Arial" w:eastAsia="Arial" w:hAnsi="Arial" w:cs="Arial"/>
        </w:rPr>
        <w:t>Durante la emergencia sanitaria, Argentina y Colombia adoptaron enfoques normativos con similitudes y diferencias significativas. Argentina implementó un cierre total de escuelas en marzo de 2020 como parte de una cuarentena estricta (Resolución 103 de 2020), mientras que Colombia optó por una estrategia gradual (Resolución 385 de 2020). En relación con el Programa de Alimentación Escolar, Colombia introdujo directrices detalladas para asegurar su funcionamiento continuo, como la Directiva 05 de 2020, a diferencia de Argentina, que ofreció un seguimiento normativo menos riguroso en este aspecto.</w:t>
      </w:r>
    </w:p>
    <w:p w14:paraId="5ECAC285" w14:textId="77777777" w:rsidR="001775FF" w:rsidRDefault="00000000">
      <w:pPr>
        <w:spacing w:after="160" w:line="360" w:lineRule="auto"/>
        <w:jc w:val="both"/>
        <w:rPr>
          <w:rFonts w:ascii="Arial" w:eastAsia="Arial" w:hAnsi="Arial" w:cs="Arial"/>
        </w:rPr>
      </w:pPr>
      <w:r>
        <w:rPr>
          <w:rFonts w:ascii="Arial" w:eastAsia="Arial" w:hAnsi="Arial" w:cs="Arial"/>
        </w:rPr>
        <w:lastRenderedPageBreak/>
        <w:t>Ambos países adoptaron modalidades sincrónicas, asincrónicas e híbridas, dependiendo de factores como los recursos disponibles, la población atendida y el momento de la crisis (E1, comunicación personal, 19-09-2024; E2, comunicación personal, 24-09-2024). Este enfoque variado se alinea con la literatura existente que sugiere que la flexibilidad en las modalidades educativas es crucial durante emergencias (INEE, 2010). Argentina implementó la flexibilización curricular a partir de julio (Resolución 366 de 2020), mientras que en Colombia esta no fue prioritaria en las primeras fases de su respuesta (Directiva 1 de 2021). Además, en Argentina, los gremios de trabajadores participaron activamente en la toma de decisiones a través de acuerdos paritarios (Acuerdo Paritario, junio de 2020), lo que contrasta con el enfoque unilateral en Colombia (Circular 11 de 2020).</w:t>
      </w:r>
    </w:p>
    <w:p w14:paraId="239557F6" w14:textId="77777777" w:rsidR="001775FF" w:rsidRDefault="00000000">
      <w:pPr>
        <w:spacing w:after="160" w:line="360" w:lineRule="auto"/>
        <w:jc w:val="both"/>
        <w:rPr>
          <w:rFonts w:ascii="Arial" w:eastAsia="Arial" w:hAnsi="Arial" w:cs="Arial"/>
        </w:rPr>
      </w:pPr>
      <w:r>
        <w:rPr>
          <w:rFonts w:ascii="Arial" w:eastAsia="Arial" w:hAnsi="Arial" w:cs="Arial"/>
        </w:rPr>
        <w:t>El análisis de las estrategias educativas implementadas durante la pandemia en ambos países revela que su éxito estuvo íntimamente vinculado al contexto local y a la disponibilidad de recursos. Se emplearon plataformas educativas, correos electrónicos y aplicaciones como WhatsApp (E2, comunicación personal, 24-09-2024). Asimismo, los gobiernos crearon programas como "Aprende en Casa" en Colombia y "Seguimos Educando" en Argentina, que reunían contenidos educativos para docentes y familias (E2, comunicación personal, 24-09-2024). Dado que la digitalización fue la alternativa más frecuente, se integraron recursos en línea, como juegos, cuestionarios, blogs, videos, podcasts y herramientas colaborativas, que se popularizaron durante los aislamientos.</w:t>
      </w:r>
    </w:p>
    <w:p w14:paraId="335C4492" w14:textId="77777777" w:rsidR="001775FF" w:rsidRDefault="00000000">
      <w:pPr>
        <w:spacing w:after="160" w:line="360" w:lineRule="auto"/>
        <w:jc w:val="both"/>
        <w:rPr>
          <w:rFonts w:ascii="Arial" w:eastAsia="Arial" w:hAnsi="Arial" w:cs="Arial"/>
        </w:rPr>
      </w:pPr>
      <w:r>
        <w:rPr>
          <w:rFonts w:ascii="Arial" w:eastAsia="Arial" w:hAnsi="Arial" w:cs="Arial"/>
        </w:rPr>
        <w:t>Una limitación de este estudio es que se centra exclusivamente en las experiencias de Colombia y Argentina durante la pandemia, lo que puede restringir los hallazgos a otros contextos educativos. Las estrategias y políticas implementadas en estos países son específicas a sus realidades sociales, económicas y culturales, lo que significa que las lecciones aprendidas pueden no ser aplicables en entornos con diferentes condiciones. Esta concentración en dos naciones puede limitar la comprensión de cómo otras regiones enfrentaron desafíos similares, por lo que futuras investigaciones podrían considerar una comparación que incluya otra variedad de contextos educativos.</w:t>
      </w:r>
    </w:p>
    <w:p w14:paraId="75BF6476" w14:textId="77777777" w:rsidR="001775FF" w:rsidRDefault="00000000">
      <w:pPr>
        <w:spacing w:after="160" w:line="360" w:lineRule="auto"/>
        <w:jc w:val="both"/>
        <w:rPr>
          <w:rFonts w:ascii="Arial" w:eastAsia="Arial" w:hAnsi="Arial" w:cs="Arial"/>
          <w:b/>
        </w:rPr>
      </w:pPr>
      <w:r>
        <w:rPr>
          <w:rFonts w:ascii="Arial" w:eastAsia="Arial" w:hAnsi="Arial" w:cs="Arial"/>
          <w:b/>
        </w:rPr>
        <w:lastRenderedPageBreak/>
        <w:t>Lecciones Aprendidas</w:t>
      </w:r>
    </w:p>
    <w:p w14:paraId="4A7DF163" w14:textId="77777777" w:rsidR="001775FF" w:rsidRDefault="00000000" w:rsidP="00DB5D88">
      <w:pPr>
        <w:spacing w:after="160" w:line="360" w:lineRule="auto"/>
        <w:ind w:firstLine="720"/>
        <w:jc w:val="both"/>
        <w:rPr>
          <w:rFonts w:ascii="Arial" w:eastAsia="Arial" w:hAnsi="Arial" w:cs="Arial"/>
        </w:rPr>
      </w:pPr>
      <w:r>
        <w:rPr>
          <w:rFonts w:ascii="Arial" w:eastAsia="Arial" w:hAnsi="Arial" w:cs="Arial"/>
        </w:rPr>
        <w:t xml:space="preserve">El análisis de lo sucedido durante la emergencia sanitaria en el ámbito educativo proporciona lecciones valiosas que pueden guiar tanto la práctica pedagógica como la formulación de políticas públicas. </w:t>
      </w:r>
    </w:p>
    <w:p w14:paraId="5CA239CE" w14:textId="77777777" w:rsidR="001775FF" w:rsidRDefault="00000000">
      <w:pPr>
        <w:spacing w:after="160" w:line="360" w:lineRule="auto"/>
        <w:jc w:val="both"/>
        <w:rPr>
          <w:rFonts w:ascii="Arial" w:eastAsia="Arial" w:hAnsi="Arial" w:cs="Arial"/>
        </w:rPr>
      </w:pPr>
      <w:r>
        <w:rPr>
          <w:rFonts w:ascii="Arial" w:eastAsia="Arial" w:hAnsi="Arial" w:cs="Arial"/>
        </w:rPr>
        <w:t>La emergencia confirmó que las instituciones educativas cumplen un rol social esencial más allá de la enseñanza (E3, comunicación personal, 15-10-2024). En este sentido, la escuela se constituye como un espacio donde se construye tejido social a través de la colaboración entre docentes y comunidades. La comunicación fluida y el establecimiento de redes de apoyo son fundamentales para enfrentar los desafíos, mejorando no solo la respuesta educativa, sino también el bienestar de los estudiantes, quienes se benefician de un entorno más cohesivo y solidario (INEE, 2010).</w:t>
      </w:r>
    </w:p>
    <w:p w14:paraId="569081AE" w14:textId="77777777" w:rsidR="001775FF" w:rsidRDefault="00000000">
      <w:pPr>
        <w:spacing w:after="160" w:line="360" w:lineRule="auto"/>
        <w:jc w:val="both"/>
        <w:rPr>
          <w:rFonts w:ascii="Arial" w:eastAsia="Arial" w:hAnsi="Arial" w:cs="Arial"/>
        </w:rPr>
      </w:pPr>
      <w:r>
        <w:rPr>
          <w:rFonts w:ascii="Arial" w:eastAsia="Arial" w:hAnsi="Arial" w:cs="Arial"/>
        </w:rPr>
        <w:t xml:space="preserve">En este sentido, cuanto más estrechos sean los lazos preexistentes entre las familias y las escuelas, mayor será la probabilidad de enfrentar con éxito una situación de emergencia. La colaboración entre estos actores es fundamental para garantizar una respuesta eficiente y efectiva ante escenarios imprevistos (E4, comunicación personal, 21-10-2024, 2024; E5, comunicación personal, 23-10-2024). </w:t>
      </w:r>
    </w:p>
    <w:p w14:paraId="00CBD4FE" w14:textId="77777777" w:rsidR="001775FF" w:rsidRDefault="00000000">
      <w:pPr>
        <w:spacing w:after="160" w:line="360" w:lineRule="auto"/>
        <w:jc w:val="both"/>
        <w:rPr>
          <w:rFonts w:ascii="Arial" w:eastAsia="Arial" w:hAnsi="Arial" w:cs="Arial"/>
        </w:rPr>
      </w:pPr>
      <w:r>
        <w:rPr>
          <w:rFonts w:ascii="Arial" w:eastAsia="Arial" w:hAnsi="Arial" w:cs="Arial"/>
        </w:rPr>
        <w:t xml:space="preserve">Aunque es importante reconocer la resiliencia y adaptabilidad de las comunidades educativas, que han demostrado una notable capacidad para ajustarse a circunstancias imprevistas mediante la adopción de diversas estrategias que permitieron la continuidad del aprendizaje (E1, comunicación personal, 19-09-2024). </w:t>
      </w:r>
      <w:proofErr w:type="spellStart"/>
      <w:r>
        <w:rPr>
          <w:rFonts w:ascii="Arial" w:eastAsia="Arial" w:hAnsi="Arial" w:cs="Arial"/>
        </w:rPr>
        <w:t>Tambien</w:t>
      </w:r>
      <w:proofErr w:type="spellEnd"/>
      <w:r>
        <w:rPr>
          <w:rFonts w:ascii="Arial" w:eastAsia="Arial" w:hAnsi="Arial" w:cs="Arial"/>
        </w:rPr>
        <w:t xml:space="preserve">, es imprescindible el acompañamiento institucional y la provisión adecuada de recursos para implementar cualquier estrategia educativa de manera efectiva (E1, comunicación personal, 19-09-2024). </w:t>
      </w:r>
    </w:p>
    <w:p w14:paraId="26B6D384" w14:textId="77777777" w:rsidR="001775FF" w:rsidRDefault="00000000">
      <w:pPr>
        <w:spacing w:after="160" w:line="360" w:lineRule="auto"/>
        <w:jc w:val="both"/>
        <w:rPr>
          <w:rFonts w:ascii="Arial" w:eastAsia="Arial" w:hAnsi="Arial" w:cs="Arial"/>
        </w:rPr>
      </w:pPr>
      <w:r>
        <w:rPr>
          <w:rFonts w:ascii="Arial" w:eastAsia="Arial" w:hAnsi="Arial" w:cs="Arial"/>
        </w:rPr>
        <w:t xml:space="preserve">Por lo tanto, este estudio trae al debate que, ante una emergencia que pone en riesgo la vida de las personas, lo académico es importante, pero no constituye la prioridad fundamental. El mensaje institucional debe enfocarse en la flexibilización de las prácticas, de modo que la escuela se transforme en un centro de soporte </w:t>
      </w:r>
      <w:r>
        <w:rPr>
          <w:rFonts w:ascii="Arial" w:eastAsia="Arial" w:hAnsi="Arial" w:cs="Arial"/>
        </w:rPr>
        <w:lastRenderedPageBreak/>
        <w:t>comunitario y no un foco de nuevas tensiones (E4, comunicación personal, 21-10-2024).</w:t>
      </w:r>
    </w:p>
    <w:p w14:paraId="4EDD2E1E" w14:textId="77777777" w:rsidR="001775FF" w:rsidRDefault="00000000">
      <w:pPr>
        <w:spacing w:after="160" w:line="360" w:lineRule="auto"/>
        <w:jc w:val="both"/>
        <w:rPr>
          <w:rFonts w:ascii="Arial" w:eastAsia="Arial" w:hAnsi="Arial" w:cs="Arial"/>
        </w:rPr>
      </w:pPr>
      <w:r>
        <w:rPr>
          <w:rFonts w:ascii="Arial" w:eastAsia="Arial" w:hAnsi="Arial" w:cs="Arial"/>
        </w:rPr>
        <w:t>Lo anterior, se debe a que en escenarios de emergencia la salud mental y el bienestar integral cobran una mayor relevancia. Por lo tanto, las instituciones educativas deben incorporar la formación de su personal en el manejo de la salud mental y el desarrollo socioemocional (Luna &amp; Martínez, 2022).</w:t>
      </w:r>
    </w:p>
    <w:p w14:paraId="163F1EF6" w14:textId="77777777" w:rsidR="001775FF" w:rsidRDefault="00000000">
      <w:pPr>
        <w:spacing w:after="160" w:line="360" w:lineRule="auto"/>
        <w:jc w:val="both"/>
        <w:rPr>
          <w:rFonts w:ascii="Arial" w:eastAsia="Arial" w:hAnsi="Arial" w:cs="Arial"/>
        </w:rPr>
      </w:pPr>
      <w:r>
        <w:rPr>
          <w:rFonts w:ascii="Arial" w:eastAsia="Arial" w:hAnsi="Arial" w:cs="Arial"/>
        </w:rPr>
        <w:t xml:space="preserve">Por otra parte, la evaluación de los dispositivos y estrategias implementados para afrontar las crisis no debe compararse con los resultados esperados en condiciones normales o planificadas. En este contexto, la evaluación es esencial, pero debe realizarse teniendo en cuenta las circunstancias excepcionales que impone una emergencia. (E4, comunicación personal, 21-10-2024). </w:t>
      </w:r>
    </w:p>
    <w:p w14:paraId="0E938E60" w14:textId="77777777" w:rsidR="001775FF" w:rsidRDefault="00000000">
      <w:pPr>
        <w:spacing w:after="160" w:line="360" w:lineRule="auto"/>
        <w:jc w:val="both"/>
        <w:rPr>
          <w:rFonts w:ascii="Arial" w:eastAsia="Arial" w:hAnsi="Arial" w:cs="Arial"/>
        </w:rPr>
      </w:pPr>
      <w:r>
        <w:rPr>
          <w:rFonts w:ascii="Arial" w:eastAsia="Arial" w:hAnsi="Arial" w:cs="Arial"/>
        </w:rPr>
        <w:t>Asimismo, la emergencia sanitaria exacerbó las desigualdades educativas preexistentes, lo cual evidencia la importancia de priorizar políticas que garanticen un acceso equitativo a la educación para todos los estudiantes. Las sociedades deben estar preparadas para enfrentar emergencias mediante evaluaciones de riesgo que posibiliten una planificación estructural, evitando respuestas reactivas o asistencialistas. De esta forma se podrá construir un sistema educativo más justo y sostenible (</w:t>
      </w:r>
      <w:proofErr w:type="spellStart"/>
      <w:r>
        <w:rPr>
          <w:rFonts w:ascii="Arial" w:eastAsia="Arial" w:hAnsi="Arial" w:cs="Arial"/>
        </w:rPr>
        <w:t>Lavell</w:t>
      </w:r>
      <w:proofErr w:type="spellEnd"/>
      <w:r>
        <w:rPr>
          <w:rFonts w:ascii="Arial" w:eastAsia="Arial" w:hAnsi="Arial" w:cs="Arial"/>
        </w:rPr>
        <w:t xml:space="preserve">, 2000; </w:t>
      </w:r>
      <w:proofErr w:type="spellStart"/>
      <w:r>
        <w:rPr>
          <w:rFonts w:ascii="Arial" w:eastAsia="Arial" w:hAnsi="Arial" w:cs="Arial"/>
        </w:rPr>
        <w:t>Atchoarena</w:t>
      </w:r>
      <w:proofErr w:type="spellEnd"/>
      <w:r>
        <w:rPr>
          <w:rFonts w:ascii="Arial" w:eastAsia="Arial" w:hAnsi="Arial" w:cs="Arial"/>
        </w:rPr>
        <w:t>, 2021).</w:t>
      </w:r>
    </w:p>
    <w:p w14:paraId="4DC9A588" w14:textId="77777777" w:rsidR="001775FF" w:rsidRDefault="00000000">
      <w:pPr>
        <w:spacing w:after="160" w:line="360" w:lineRule="auto"/>
        <w:jc w:val="both"/>
        <w:rPr>
          <w:rFonts w:ascii="Arial" w:eastAsia="Arial" w:hAnsi="Arial" w:cs="Arial"/>
        </w:rPr>
      </w:pPr>
      <w:r>
        <w:rPr>
          <w:rFonts w:ascii="Arial" w:eastAsia="Arial" w:hAnsi="Arial" w:cs="Arial"/>
        </w:rPr>
        <w:t>Otro aprendizaje relevante es que, si bien la educación virtual fue parcialmente efectiva, su éxito depende de las condiciones de acceso a la tecnología y la capacidad de docentes y estudiantes para adaptarse (E2, comunicación personal, 24-09-2024). Sin embargo, no todas las personas contaron con las habilidades necesarias para utilizar las herramientas digitales, lo que podría replantear la noción del ciudadano digital (E3, comunicación personal, 15-10-2024). Esta experiencia muestra la necesidad de integrar los recursos tecnológicos en las prácticas educativas cotidianas, asegurando procesos continuos de formación tanto para docentes como para estudiantes (Bond, 2021; Álvarez, 2020; E3, comunicación personal, 15-10-2024). Sin embargo, también deja claro que la educación virtual no puede sustituir completamente la presencialidad, y que la digitalización debe ser implementada de manera racional (E1, comunicación personal, 19-09-2024).</w:t>
      </w:r>
    </w:p>
    <w:p w14:paraId="4BE03623" w14:textId="77777777" w:rsidR="001775FF" w:rsidRDefault="00000000">
      <w:pPr>
        <w:spacing w:after="160" w:line="360" w:lineRule="auto"/>
        <w:jc w:val="both"/>
        <w:rPr>
          <w:rFonts w:ascii="Arial" w:eastAsia="Arial" w:hAnsi="Arial" w:cs="Arial"/>
        </w:rPr>
      </w:pPr>
      <w:r>
        <w:rPr>
          <w:rFonts w:ascii="Arial" w:eastAsia="Arial" w:hAnsi="Arial" w:cs="Arial"/>
        </w:rPr>
        <w:lastRenderedPageBreak/>
        <w:t>Los métodos educativos híbridos (virtuales y presenciales) se presentan como una alternativa complementaria para contextos específicos (E2, comunicación personal, 24-09-2024). No obstante, se ha vuelto evidente que el compromiso con la innovación educativa no puede recaer exclusivamente en los docentes pues requiere de una infraestructura e inversión que permita la innovación (Jaime-Osorio &amp; Campos-Perdomo, 2023).</w:t>
      </w:r>
    </w:p>
    <w:p w14:paraId="7389AD7C" w14:textId="77777777" w:rsidR="001775FF" w:rsidRDefault="00000000">
      <w:pPr>
        <w:spacing w:after="160" w:line="360" w:lineRule="auto"/>
        <w:jc w:val="both"/>
        <w:rPr>
          <w:rFonts w:ascii="Arial" w:eastAsia="Arial" w:hAnsi="Arial" w:cs="Arial"/>
        </w:rPr>
      </w:pPr>
      <w:r>
        <w:rPr>
          <w:rFonts w:ascii="Arial" w:eastAsia="Arial" w:hAnsi="Arial" w:cs="Arial"/>
        </w:rPr>
        <w:t>Es fundamental que el sistema educativo reconozca las diversas realidades sociales que influyen en el entorno de aprendizaje (Cabra, 2022). Como sugiere Habermas (1984). La escucha activa de estas realidades permite comprender de manera más profunda las tensiones y desigualdades que surgen durante las emergencias, facilitando así la creación de estrategias que respondan adecuadamente a estas necesidades (E3, comunicación personal, 15-10-2024).</w:t>
      </w:r>
    </w:p>
    <w:p w14:paraId="03D166E9" w14:textId="77777777" w:rsidR="001775FF" w:rsidRDefault="00000000">
      <w:pPr>
        <w:spacing w:after="160" w:line="360" w:lineRule="auto"/>
        <w:jc w:val="both"/>
        <w:rPr>
          <w:rFonts w:ascii="Arial" w:eastAsia="Arial" w:hAnsi="Arial" w:cs="Arial"/>
        </w:rPr>
      </w:pPr>
      <w:r>
        <w:rPr>
          <w:rFonts w:ascii="Arial" w:eastAsia="Arial" w:hAnsi="Arial" w:cs="Arial"/>
        </w:rPr>
        <w:t>Finalmente, estas lecciones aprendidas invitan a reflexionar y actuar de manera proactiva, adoptando un enfoque preventivo, colaborativo y flexible que garantice una educación inclusiva y de calidad para todos. De esta manera es posible avanzar hacia un futuro más justo y equitativo para las comunidades.</w:t>
      </w:r>
    </w:p>
    <w:p w14:paraId="6807AF4F" w14:textId="77777777" w:rsidR="00DB5D88" w:rsidRDefault="00DB5D88">
      <w:pPr>
        <w:spacing w:after="160" w:line="360" w:lineRule="auto"/>
        <w:jc w:val="both"/>
        <w:rPr>
          <w:rFonts w:ascii="Arial" w:eastAsia="Arial" w:hAnsi="Arial" w:cs="Arial"/>
          <w:b/>
        </w:rPr>
      </w:pPr>
    </w:p>
    <w:p w14:paraId="3ED5D51B" w14:textId="271B93F4" w:rsidR="00DB5D88" w:rsidRDefault="00000000">
      <w:pPr>
        <w:spacing w:after="160" w:line="360" w:lineRule="auto"/>
        <w:jc w:val="both"/>
        <w:rPr>
          <w:rFonts w:ascii="Arial" w:eastAsia="Arial" w:hAnsi="Arial" w:cs="Arial"/>
          <w:b/>
        </w:rPr>
      </w:pPr>
      <w:r>
        <w:rPr>
          <w:rFonts w:ascii="Arial" w:eastAsia="Arial" w:hAnsi="Arial" w:cs="Arial"/>
          <w:b/>
        </w:rPr>
        <w:t>Recomendaciones Practicas</w:t>
      </w:r>
    </w:p>
    <w:p w14:paraId="30D8C17E" w14:textId="77777777" w:rsidR="00DB5D88" w:rsidRDefault="00000000">
      <w:pPr>
        <w:spacing w:after="160" w:line="360" w:lineRule="auto"/>
        <w:jc w:val="both"/>
        <w:rPr>
          <w:rFonts w:ascii="Arial" w:eastAsia="Arial" w:hAnsi="Arial" w:cs="Arial"/>
          <w:b/>
        </w:rPr>
      </w:pPr>
      <w:r>
        <w:rPr>
          <w:rFonts w:ascii="Arial" w:eastAsia="Arial" w:hAnsi="Arial" w:cs="Arial"/>
          <w:b/>
        </w:rPr>
        <w:t>Fortalecer la capacitación de docentes y directivos docentes:</w:t>
      </w:r>
    </w:p>
    <w:p w14:paraId="3E77B3B6" w14:textId="0683D698" w:rsidR="001775FF" w:rsidRDefault="00000000">
      <w:pPr>
        <w:spacing w:after="160" w:line="360" w:lineRule="auto"/>
        <w:jc w:val="both"/>
        <w:rPr>
          <w:rFonts w:ascii="Arial" w:eastAsia="Arial" w:hAnsi="Arial" w:cs="Arial"/>
        </w:rPr>
      </w:pPr>
      <w:r>
        <w:rPr>
          <w:rFonts w:ascii="Arial" w:eastAsia="Arial" w:hAnsi="Arial" w:cs="Arial"/>
        </w:rPr>
        <w:t>Se deben priorizar programas de formación continua en cuanto al manejo de situaciones de emergencia, soporte emocional, abordaje de crisis y el uso de tecnologías de la información y la comunicación (TIC), especialmente en áreas rurales (Bond, 2021). Es esencial que los docentes y directivos docentes adquieran competencias para reaccionar manera eficaz y adaptar sus estrategias pedagógicas a contextos adversos (</w:t>
      </w:r>
      <w:proofErr w:type="spellStart"/>
      <w:r>
        <w:rPr>
          <w:rFonts w:ascii="Arial" w:eastAsia="Arial" w:hAnsi="Arial" w:cs="Arial"/>
        </w:rPr>
        <w:t>Atchoarena</w:t>
      </w:r>
      <w:proofErr w:type="spellEnd"/>
      <w:r>
        <w:rPr>
          <w:rFonts w:ascii="Arial" w:eastAsia="Arial" w:hAnsi="Arial" w:cs="Arial"/>
        </w:rPr>
        <w:t xml:space="preserve"> &amp; Howells, 2021).</w:t>
      </w:r>
    </w:p>
    <w:p w14:paraId="56FB5E18" w14:textId="77777777" w:rsidR="00DB5D88" w:rsidRDefault="00000000">
      <w:pPr>
        <w:spacing w:after="160" w:line="360" w:lineRule="auto"/>
        <w:jc w:val="both"/>
        <w:rPr>
          <w:rFonts w:ascii="Arial" w:eastAsia="Arial" w:hAnsi="Arial" w:cs="Arial"/>
          <w:b/>
        </w:rPr>
      </w:pPr>
      <w:r>
        <w:rPr>
          <w:rFonts w:ascii="Arial" w:eastAsia="Arial" w:hAnsi="Arial" w:cs="Arial"/>
          <w:b/>
        </w:rPr>
        <w:t>Disminuir tensiones:</w:t>
      </w:r>
    </w:p>
    <w:p w14:paraId="113618DF" w14:textId="0455A932" w:rsidR="001775FF" w:rsidRDefault="00000000">
      <w:pPr>
        <w:spacing w:after="160" w:line="360" w:lineRule="auto"/>
        <w:jc w:val="both"/>
        <w:rPr>
          <w:rFonts w:ascii="Arial" w:eastAsia="Arial" w:hAnsi="Arial" w:cs="Arial"/>
        </w:rPr>
      </w:pPr>
      <w:r>
        <w:rPr>
          <w:rFonts w:ascii="Arial" w:eastAsia="Arial" w:hAnsi="Arial" w:cs="Arial"/>
        </w:rPr>
        <w:t xml:space="preserve">Ante una situación de emergencia es necesario identificar las tensiones existentes y evitar que por razones administrativas o normas inflexibles se generen nuevas </w:t>
      </w:r>
      <w:r>
        <w:rPr>
          <w:rFonts w:ascii="Arial" w:eastAsia="Arial" w:hAnsi="Arial" w:cs="Arial"/>
        </w:rPr>
        <w:lastRenderedPageBreak/>
        <w:t>tensiones que afecten la salud mental de las comunidades impactando negativamente en los servicios (E3, comunicación personal, 15-10-2024).</w:t>
      </w:r>
    </w:p>
    <w:p w14:paraId="2D6BBBE1" w14:textId="77777777" w:rsidR="00DB5D88" w:rsidRDefault="00000000">
      <w:pPr>
        <w:spacing w:after="160" w:line="360" w:lineRule="auto"/>
        <w:jc w:val="both"/>
        <w:rPr>
          <w:rFonts w:ascii="Arial" w:eastAsia="Arial" w:hAnsi="Arial" w:cs="Arial"/>
        </w:rPr>
      </w:pPr>
      <w:r>
        <w:rPr>
          <w:rFonts w:ascii="Arial" w:eastAsia="Arial" w:hAnsi="Arial" w:cs="Arial"/>
          <w:b/>
        </w:rPr>
        <w:t>Mejorar el acceso equitativo a recursos tecnológicos:</w:t>
      </w:r>
      <w:r>
        <w:rPr>
          <w:rFonts w:ascii="Arial" w:eastAsia="Arial" w:hAnsi="Arial" w:cs="Arial"/>
        </w:rPr>
        <w:t xml:space="preserve"> </w:t>
      </w:r>
    </w:p>
    <w:p w14:paraId="6364EEFD" w14:textId="65489AE9" w:rsidR="001775FF" w:rsidRDefault="00000000">
      <w:pPr>
        <w:spacing w:after="160" w:line="360" w:lineRule="auto"/>
        <w:jc w:val="both"/>
        <w:rPr>
          <w:rFonts w:ascii="Arial" w:eastAsia="Arial" w:hAnsi="Arial" w:cs="Arial"/>
        </w:rPr>
      </w:pPr>
      <w:r>
        <w:rPr>
          <w:rFonts w:ascii="Arial" w:eastAsia="Arial" w:hAnsi="Arial" w:cs="Arial"/>
        </w:rPr>
        <w:t>Es fundamental invertir en infraestructura tecnológica en zonas vulnerables especialmente en áreas rurales de Colombia y Argentina para cerrar la brecha digital (Luna &amp; Martínez, 2022). Los gobiernos deben garantizar que estudiantes y docentes dispongan de dispositivos y conectividad adecuados, implementando políticas que mejoren la capacidad instalada (Álvarez, 2020).</w:t>
      </w:r>
    </w:p>
    <w:p w14:paraId="1B72285D" w14:textId="77777777" w:rsidR="00DB5D88" w:rsidRDefault="00000000">
      <w:pPr>
        <w:spacing w:after="160" w:line="360" w:lineRule="auto"/>
        <w:jc w:val="both"/>
        <w:rPr>
          <w:rFonts w:ascii="Arial" w:eastAsia="Arial" w:hAnsi="Arial" w:cs="Arial"/>
        </w:rPr>
      </w:pPr>
      <w:r>
        <w:rPr>
          <w:rFonts w:ascii="Arial" w:eastAsia="Arial" w:hAnsi="Arial" w:cs="Arial"/>
          <w:b/>
        </w:rPr>
        <w:t>Desarrollar estrategias inclusivas de enseñanza:</w:t>
      </w:r>
      <w:r>
        <w:rPr>
          <w:rFonts w:ascii="Arial" w:eastAsia="Arial" w:hAnsi="Arial" w:cs="Arial"/>
        </w:rPr>
        <w:t xml:space="preserve"> </w:t>
      </w:r>
    </w:p>
    <w:p w14:paraId="323140CB" w14:textId="19137B69" w:rsidR="001775FF" w:rsidRDefault="00000000">
      <w:pPr>
        <w:spacing w:after="160" w:line="360" w:lineRule="auto"/>
        <w:jc w:val="both"/>
        <w:rPr>
          <w:rFonts w:ascii="Arial" w:eastAsia="Arial" w:hAnsi="Arial" w:cs="Arial"/>
        </w:rPr>
      </w:pPr>
      <w:r>
        <w:rPr>
          <w:rFonts w:ascii="Arial" w:eastAsia="Arial" w:hAnsi="Arial" w:cs="Arial"/>
        </w:rPr>
        <w:t>Las estrategias educativas deben combinar recursos digitales con materiales impresos, radio y televisión, especialmente en contextos vulnerables (INEE, 2010). Esto garantiza que todos los estudiantes accedan a los contenidos educativos, complementado con mecanismos de retroalimentación y evaluación que trasciendan el entorno digital (Jaime-Osorio &amp; Campos-Perdomo, 2023).</w:t>
      </w:r>
    </w:p>
    <w:p w14:paraId="166CC081" w14:textId="77777777" w:rsidR="00DB5D88" w:rsidRDefault="00000000">
      <w:pPr>
        <w:spacing w:after="160" w:line="360" w:lineRule="auto"/>
        <w:jc w:val="both"/>
        <w:rPr>
          <w:rFonts w:ascii="Arial" w:eastAsia="Arial" w:hAnsi="Arial" w:cs="Arial"/>
        </w:rPr>
      </w:pPr>
      <w:r>
        <w:rPr>
          <w:rFonts w:ascii="Arial" w:eastAsia="Arial" w:hAnsi="Arial" w:cs="Arial"/>
          <w:b/>
        </w:rPr>
        <w:t>Promover la flexibilidad en las políticas educativas:</w:t>
      </w:r>
      <w:r>
        <w:rPr>
          <w:rFonts w:ascii="Arial" w:eastAsia="Arial" w:hAnsi="Arial" w:cs="Arial"/>
        </w:rPr>
        <w:t xml:space="preserve"> </w:t>
      </w:r>
    </w:p>
    <w:p w14:paraId="268F8044" w14:textId="05833AA0" w:rsidR="001775FF" w:rsidRDefault="00000000">
      <w:pPr>
        <w:spacing w:after="160" w:line="360" w:lineRule="auto"/>
        <w:jc w:val="both"/>
        <w:rPr>
          <w:rFonts w:ascii="Arial" w:eastAsia="Arial" w:hAnsi="Arial" w:cs="Arial"/>
        </w:rPr>
      </w:pPr>
      <w:r>
        <w:rPr>
          <w:rFonts w:ascii="Arial" w:eastAsia="Arial" w:hAnsi="Arial" w:cs="Arial"/>
        </w:rPr>
        <w:t>Las políticas educativas deben ser adaptables a las realidades locales de cada región, fortaleciendo la coordinación entre formuladores de políticas y actores educativos (Luna &amp; Martínez, 2022). Esto asegura que las estrategias implementadas respondan a las condiciones específicas de cada comunidad (Romero et al., 2023).</w:t>
      </w:r>
    </w:p>
    <w:p w14:paraId="5BDEA579" w14:textId="77777777" w:rsidR="00DB5D88" w:rsidRDefault="00000000">
      <w:pPr>
        <w:spacing w:after="160" w:line="360" w:lineRule="auto"/>
        <w:jc w:val="both"/>
        <w:rPr>
          <w:rFonts w:ascii="Arial" w:eastAsia="Arial" w:hAnsi="Arial" w:cs="Arial"/>
          <w:b/>
        </w:rPr>
      </w:pPr>
      <w:r>
        <w:rPr>
          <w:rFonts w:ascii="Arial" w:eastAsia="Arial" w:hAnsi="Arial" w:cs="Arial"/>
          <w:b/>
        </w:rPr>
        <w:t>Implementar planes educativos a largo plazo para futuras emergencias:</w:t>
      </w:r>
    </w:p>
    <w:p w14:paraId="6A388658" w14:textId="077F0C0C" w:rsidR="001775FF" w:rsidRDefault="00000000">
      <w:pPr>
        <w:spacing w:after="160" w:line="360" w:lineRule="auto"/>
        <w:jc w:val="both"/>
        <w:rPr>
          <w:rFonts w:ascii="Arial" w:eastAsia="Arial" w:hAnsi="Arial" w:cs="Arial"/>
        </w:rPr>
      </w:pPr>
      <w:r>
        <w:rPr>
          <w:rFonts w:ascii="Arial" w:eastAsia="Arial" w:hAnsi="Arial" w:cs="Arial"/>
        </w:rPr>
        <w:t>Los gobiernos deben desarrollar estrategias educativas sostenibles que integren análisis de riesgo en la planificación, para mitigar vulnerabilidades y facilitar la ágil recuperación de los sistemas educativos en eventuales emergencias (</w:t>
      </w:r>
      <w:proofErr w:type="spellStart"/>
      <w:r>
        <w:rPr>
          <w:rFonts w:ascii="Arial" w:eastAsia="Arial" w:hAnsi="Arial" w:cs="Arial"/>
        </w:rPr>
        <w:t>Lavell</w:t>
      </w:r>
      <w:proofErr w:type="spellEnd"/>
      <w:r>
        <w:rPr>
          <w:rFonts w:ascii="Arial" w:eastAsia="Arial" w:hAnsi="Arial" w:cs="Arial"/>
        </w:rPr>
        <w:t>, 2000).</w:t>
      </w:r>
    </w:p>
    <w:p w14:paraId="36359174" w14:textId="77777777" w:rsidR="00DB5D88" w:rsidRDefault="00000000">
      <w:pPr>
        <w:spacing w:after="160" w:line="360" w:lineRule="auto"/>
        <w:jc w:val="both"/>
        <w:rPr>
          <w:rFonts w:ascii="Arial" w:eastAsia="Arial" w:hAnsi="Arial" w:cs="Arial"/>
        </w:rPr>
      </w:pPr>
      <w:r>
        <w:rPr>
          <w:rFonts w:ascii="Arial" w:eastAsia="Arial" w:hAnsi="Arial" w:cs="Arial"/>
          <w:b/>
        </w:rPr>
        <w:t>Fomentar la participación docente en la formulación de políticas:</w:t>
      </w:r>
      <w:r>
        <w:rPr>
          <w:rFonts w:ascii="Arial" w:eastAsia="Arial" w:hAnsi="Arial" w:cs="Arial"/>
        </w:rPr>
        <w:t xml:space="preserve"> </w:t>
      </w:r>
    </w:p>
    <w:p w14:paraId="1586CF6A" w14:textId="2FFDC9DB" w:rsidR="001775FF" w:rsidRDefault="00000000">
      <w:pPr>
        <w:spacing w:after="160" w:line="360" w:lineRule="auto"/>
        <w:jc w:val="both"/>
        <w:rPr>
          <w:rFonts w:ascii="Arial" w:eastAsia="Arial" w:hAnsi="Arial" w:cs="Arial"/>
        </w:rPr>
      </w:pPr>
      <w:r>
        <w:rPr>
          <w:rFonts w:ascii="Arial" w:eastAsia="Arial" w:hAnsi="Arial" w:cs="Arial"/>
        </w:rPr>
        <w:t>Es crucial involucrar a los docentes y comunidades en la toma de decisiones sobre políticas educativas (</w:t>
      </w:r>
      <w:proofErr w:type="spellStart"/>
      <w:r>
        <w:rPr>
          <w:rFonts w:ascii="Arial" w:eastAsia="Arial" w:hAnsi="Arial" w:cs="Arial"/>
        </w:rPr>
        <w:t>Dabenigno</w:t>
      </w:r>
      <w:proofErr w:type="spellEnd"/>
      <w:r>
        <w:rPr>
          <w:rFonts w:ascii="Arial" w:eastAsia="Arial" w:hAnsi="Arial" w:cs="Arial"/>
        </w:rPr>
        <w:t xml:space="preserve"> et </w:t>
      </w:r>
      <w:proofErr w:type="spellStart"/>
      <w:r>
        <w:rPr>
          <w:rFonts w:ascii="Arial" w:eastAsia="Arial" w:hAnsi="Arial" w:cs="Arial"/>
        </w:rPr>
        <w:t>all</w:t>
      </w:r>
      <w:proofErr w:type="spellEnd"/>
      <w:r>
        <w:rPr>
          <w:rFonts w:ascii="Arial" w:eastAsia="Arial" w:hAnsi="Arial" w:cs="Arial"/>
        </w:rPr>
        <w:t xml:space="preserve">, 2021). Se deben establecer mecanismos </w:t>
      </w:r>
      <w:r>
        <w:rPr>
          <w:rFonts w:ascii="Arial" w:eastAsia="Arial" w:hAnsi="Arial" w:cs="Arial"/>
        </w:rPr>
        <w:lastRenderedPageBreak/>
        <w:t>formales de participación para diseñar estrategias más ajustadas a las realidades de la enseñanza y el bienestar de los educadores (</w:t>
      </w:r>
      <w:proofErr w:type="spellStart"/>
      <w:r>
        <w:rPr>
          <w:rFonts w:ascii="Arial" w:eastAsia="Arial" w:hAnsi="Arial" w:cs="Arial"/>
        </w:rPr>
        <w:t>Atchoarena</w:t>
      </w:r>
      <w:proofErr w:type="spellEnd"/>
      <w:r>
        <w:rPr>
          <w:rFonts w:ascii="Arial" w:eastAsia="Arial" w:hAnsi="Arial" w:cs="Arial"/>
        </w:rPr>
        <w:t xml:space="preserve"> &amp; Howells, 2021).</w:t>
      </w:r>
    </w:p>
    <w:p w14:paraId="3BB8861E" w14:textId="77777777" w:rsidR="00DB5D88" w:rsidRDefault="00000000">
      <w:pPr>
        <w:spacing w:after="160" w:line="360" w:lineRule="auto"/>
        <w:jc w:val="both"/>
        <w:rPr>
          <w:rFonts w:ascii="Arial" w:eastAsia="Arial" w:hAnsi="Arial" w:cs="Arial"/>
        </w:rPr>
      </w:pPr>
      <w:r>
        <w:rPr>
          <w:rFonts w:ascii="Arial" w:eastAsia="Arial" w:hAnsi="Arial" w:cs="Arial"/>
          <w:b/>
        </w:rPr>
        <w:t>Revisar enfoques asistencialistas en la educación:</w:t>
      </w:r>
      <w:r>
        <w:rPr>
          <w:rFonts w:ascii="Arial" w:eastAsia="Arial" w:hAnsi="Arial" w:cs="Arial"/>
        </w:rPr>
        <w:t xml:space="preserve"> </w:t>
      </w:r>
    </w:p>
    <w:p w14:paraId="6FCFC921" w14:textId="4019E023" w:rsidR="001775FF" w:rsidRDefault="00000000">
      <w:pPr>
        <w:spacing w:after="160" w:line="360" w:lineRule="auto"/>
        <w:jc w:val="both"/>
        <w:rPr>
          <w:rFonts w:ascii="Arial" w:eastAsia="Arial" w:hAnsi="Arial" w:cs="Arial"/>
        </w:rPr>
      </w:pPr>
      <w:r>
        <w:rPr>
          <w:rFonts w:ascii="Arial" w:eastAsia="Arial" w:hAnsi="Arial" w:cs="Arial"/>
        </w:rPr>
        <w:t>Las políticas educativas deben incluir planificación a largo plazo que fortalezca la resiliencia del sistema educativo y promueva la innovación como un pilar fundamental para enfrentar desafíos contemporáneos (</w:t>
      </w:r>
      <w:proofErr w:type="spellStart"/>
      <w:r>
        <w:rPr>
          <w:rFonts w:ascii="Arial" w:eastAsia="Arial" w:hAnsi="Arial" w:cs="Arial"/>
        </w:rPr>
        <w:t>Alucin</w:t>
      </w:r>
      <w:proofErr w:type="spellEnd"/>
      <w:r>
        <w:rPr>
          <w:rFonts w:ascii="Arial" w:eastAsia="Arial" w:hAnsi="Arial" w:cs="Arial"/>
        </w:rPr>
        <w:t xml:space="preserve"> &amp; </w:t>
      </w:r>
      <w:proofErr w:type="spellStart"/>
      <w:r>
        <w:rPr>
          <w:rFonts w:ascii="Arial" w:eastAsia="Arial" w:hAnsi="Arial" w:cs="Arial"/>
        </w:rPr>
        <w:t>Monjelat</w:t>
      </w:r>
      <w:proofErr w:type="spellEnd"/>
      <w:r>
        <w:rPr>
          <w:rFonts w:ascii="Arial" w:eastAsia="Arial" w:hAnsi="Arial" w:cs="Arial"/>
        </w:rPr>
        <w:t>, 2023).</w:t>
      </w:r>
    </w:p>
    <w:p w14:paraId="1A66E894" w14:textId="77777777" w:rsidR="00DB5D88" w:rsidRDefault="00DB5D88">
      <w:pPr>
        <w:spacing w:after="160" w:line="360" w:lineRule="auto"/>
        <w:jc w:val="both"/>
        <w:rPr>
          <w:rFonts w:ascii="Arial" w:eastAsia="Arial" w:hAnsi="Arial" w:cs="Arial"/>
          <w:b/>
        </w:rPr>
      </w:pPr>
    </w:p>
    <w:p w14:paraId="1163FCF7" w14:textId="30FDF9DA" w:rsidR="001775FF" w:rsidRDefault="00000000">
      <w:pPr>
        <w:spacing w:after="160" w:line="360" w:lineRule="auto"/>
        <w:jc w:val="both"/>
        <w:rPr>
          <w:rFonts w:ascii="Arial" w:eastAsia="Arial" w:hAnsi="Arial" w:cs="Arial"/>
          <w:b/>
        </w:rPr>
      </w:pPr>
      <w:r>
        <w:rPr>
          <w:rFonts w:ascii="Arial" w:eastAsia="Arial" w:hAnsi="Arial" w:cs="Arial"/>
          <w:b/>
        </w:rPr>
        <w:t xml:space="preserve">Referencias bibliográficas. </w:t>
      </w:r>
    </w:p>
    <w:p w14:paraId="43EC3A84"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Acuerdo Paritario 4 de 2020. Acuerdo Paritario del 4 de junio de 2020: Por el cual se reconoce el trabajo no presencial docente y formación continua. CONSEJO FEDERAL DE EDUCACIÓN.</w:t>
      </w:r>
    </w:p>
    <w:p w14:paraId="588DA8ED"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Álvarez, M., </w:t>
      </w:r>
      <w:proofErr w:type="spellStart"/>
      <w:r>
        <w:rPr>
          <w:rFonts w:ascii="Times New Roman" w:eastAsia="Times New Roman" w:hAnsi="Times New Roman" w:cs="Times New Roman"/>
        </w:rPr>
        <w:t>Gardyn</w:t>
      </w:r>
      <w:proofErr w:type="spellEnd"/>
      <w:r>
        <w:rPr>
          <w:rFonts w:ascii="Times New Roman" w:eastAsia="Times New Roman" w:hAnsi="Times New Roman" w:cs="Times New Roman"/>
        </w:rPr>
        <w:t xml:space="preserve">, N., </w:t>
      </w:r>
      <w:proofErr w:type="spellStart"/>
      <w:r>
        <w:rPr>
          <w:rFonts w:ascii="Times New Roman" w:eastAsia="Times New Roman" w:hAnsi="Times New Roman" w:cs="Times New Roman"/>
        </w:rPr>
        <w:t>Iardelevsky</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Rebello</w:t>
      </w:r>
      <w:proofErr w:type="spellEnd"/>
      <w:r>
        <w:rPr>
          <w:rFonts w:ascii="Times New Roman" w:eastAsia="Times New Roman" w:hAnsi="Times New Roman" w:cs="Times New Roman"/>
        </w:rPr>
        <w:t xml:space="preserve">, G. (2020). Segregación educativa en tiempos de pandemia: Balance de las acciones iniciales durante el aislamiento social por el COVID-19 en Argentina. Revista Internacional de Educación para la Justicia Social, 9(3). </w:t>
      </w:r>
    </w:p>
    <w:p w14:paraId="4D96772B"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Pr>
          <w:rFonts w:ascii="Times New Roman" w:eastAsia="Times New Roman" w:hAnsi="Times New Roman" w:cs="Times New Roman"/>
        </w:rPr>
        <w:t>Anokhin</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Aleshin</w:t>
      </w:r>
      <w:proofErr w:type="spellEnd"/>
      <w:r>
        <w:rPr>
          <w:rFonts w:ascii="Times New Roman" w:eastAsia="Times New Roman" w:hAnsi="Times New Roman" w:cs="Times New Roman"/>
        </w:rPr>
        <w:t xml:space="preserve">, G. Y., </w:t>
      </w:r>
      <w:proofErr w:type="spellStart"/>
      <w:r>
        <w:rPr>
          <w:rFonts w:ascii="Times New Roman" w:eastAsia="Times New Roman" w:hAnsi="Times New Roman" w:cs="Times New Roman"/>
        </w:rPr>
        <w:t>Tishkin</w:t>
      </w:r>
      <w:proofErr w:type="spellEnd"/>
      <w:r>
        <w:rPr>
          <w:rFonts w:ascii="Times New Roman" w:eastAsia="Times New Roman" w:hAnsi="Times New Roman" w:cs="Times New Roman"/>
        </w:rPr>
        <w:t xml:space="preserve">, A. A., </w:t>
      </w:r>
      <w:proofErr w:type="spellStart"/>
      <w:r>
        <w:rPr>
          <w:rFonts w:ascii="Times New Roman" w:eastAsia="Times New Roman" w:hAnsi="Times New Roman" w:cs="Times New Roman"/>
        </w:rPr>
        <w:t>Korolev</w:t>
      </w:r>
      <w:proofErr w:type="spellEnd"/>
      <w:r>
        <w:rPr>
          <w:rFonts w:ascii="Times New Roman" w:eastAsia="Times New Roman" w:hAnsi="Times New Roman" w:cs="Times New Roman"/>
        </w:rPr>
        <w:t xml:space="preserve">, V. V., </w:t>
      </w:r>
      <w:proofErr w:type="spellStart"/>
      <w:r>
        <w:rPr>
          <w:rFonts w:ascii="Times New Roman" w:eastAsia="Times New Roman" w:hAnsi="Times New Roman" w:cs="Times New Roman"/>
        </w:rPr>
        <w:t>Sobol</w:t>
      </w:r>
      <w:proofErr w:type="spellEnd"/>
      <w:r>
        <w:rPr>
          <w:rFonts w:ascii="Times New Roman" w:eastAsia="Times New Roman" w:hAnsi="Times New Roman" w:cs="Times New Roman"/>
        </w:rPr>
        <w:t xml:space="preserve">, A. G., </w:t>
      </w:r>
      <w:proofErr w:type="spellStart"/>
      <w:r>
        <w:rPr>
          <w:rFonts w:ascii="Times New Roman" w:eastAsia="Times New Roman" w:hAnsi="Times New Roman" w:cs="Times New Roman"/>
        </w:rPr>
        <w:t>Evdokimov</w:t>
      </w:r>
      <w:proofErr w:type="spellEnd"/>
      <w:r>
        <w:rPr>
          <w:rFonts w:ascii="Times New Roman" w:eastAsia="Times New Roman" w:hAnsi="Times New Roman" w:cs="Times New Roman"/>
        </w:rPr>
        <w:t xml:space="preserve">, K. M., &amp; </w:t>
      </w:r>
      <w:proofErr w:type="spellStart"/>
      <w:r>
        <w:rPr>
          <w:rFonts w:ascii="Times New Roman" w:eastAsia="Times New Roman" w:hAnsi="Times New Roman" w:cs="Times New Roman"/>
        </w:rPr>
        <w:t>Chepiga</w:t>
      </w:r>
      <w:proofErr w:type="spellEnd"/>
      <w:r>
        <w:rPr>
          <w:rFonts w:ascii="Times New Roman" w:eastAsia="Times New Roman" w:hAnsi="Times New Roman" w:cs="Times New Roman"/>
        </w:rPr>
        <w:t xml:space="preserve">, A. A. (2021). </w:t>
      </w:r>
      <w:r w:rsidRPr="00DB5D88">
        <w:rPr>
          <w:rFonts w:ascii="Times New Roman" w:eastAsia="Times New Roman" w:hAnsi="Times New Roman" w:cs="Times New Roman"/>
          <w:lang w:val="en-US"/>
        </w:rPr>
        <w:t>Not great, not terrible: Distance learning of chemistry in Russian secondary schools during COVID-19. Chemistry Teacher International, 3(4), 349–357.</w:t>
      </w:r>
    </w:p>
    <w:p w14:paraId="20669C1E"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sidRPr="00DB5D88">
        <w:rPr>
          <w:rFonts w:ascii="Times New Roman" w:eastAsia="Times New Roman" w:hAnsi="Times New Roman" w:cs="Times New Roman"/>
          <w:lang w:val="en-US"/>
        </w:rPr>
        <w:t>Atchoarena</w:t>
      </w:r>
      <w:proofErr w:type="spellEnd"/>
      <w:r w:rsidRPr="00DB5D88">
        <w:rPr>
          <w:rFonts w:ascii="Times New Roman" w:eastAsia="Times New Roman" w:hAnsi="Times New Roman" w:cs="Times New Roman"/>
          <w:lang w:val="en-US"/>
        </w:rPr>
        <w:t>, D., &amp; Howells, A. (2021). Advancing learning cities: Lifelong learning and the creation of a learning society. In Powering a learning society during an age of disruption (pp. 165-180). Singapore: Springer Nature Singapore.</w:t>
      </w:r>
    </w:p>
    <w:p w14:paraId="1B7FE92B"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Barragán Moreno, S. P., &amp; Lozano Galindo, O. L. (2022). Explanatory variables of dropout in Colombian public education: Evolution limited to coronavirus disease.</w:t>
      </w:r>
    </w:p>
    <w:p w14:paraId="1520C7ED"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Bond, M. (2021). Schools and emergency remote education during the COVID-19 pandemic: A living rapid systematic review. Asian Journal of Distance Education, 15(2), 191-247. </w:t>
      </w:r>
    </w:p>
    <w:p w14:paraId="25A29682"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sidRPr="00DB5D88">
        <w:rPr>
          <w:rFonts w:ascii="Times New Roman" w:eastAsia="Times New Roman" w:hAnsi="Times New Roman" w:cs="Times New Roman"/>
          <w:lang w:val="en-US"/>
        </w:rPr>
        <w:t>Cabra</w:t>
      </w:r>
      <w:proofErr w:type="spellEnd"/>
      <w:r w:rsidRPr="00DB5D88">
        <w:rPr>
          <w:rFonts w:ascii="Times New Roman" w:eastAsia="Times New Roman" w:hAnsi="Times New Roman" w:cs="Times New Roman"/>
          <w:lang w:val="en-US"/>
        </w:rPr>
        <w:t>, H. W. (2022). Powering up: Three approaches to model the relationship between durable goods and educational outcomes in Colombia. </w:t>
      </w:r>
      <w:r w:rsidRPr="00DB5D88">
        <w:rPr>
          <w:rFonts w:ascii="Times New Roman" w:eastAsia="Times New Roman" w:hAnsi="Times New Roman" w:cs="Times New Roman"/>
          <w:i/>
          <w:lang w:val="en-US"/>
        </w:rPr>
        <w:t>Available at SSRN 4268757</w:t>
      </w:r>
      <w:r w:rsidRPr="00DB5D88">
        <w:rPr>
          <w:rFonts w:ascii="Times New Roman" w:eastAsia="Times New Roman" w:hAnsi="Times New Roman" w:cs="Times New Roman"/>
          <w:lang w:val="en-US"/>
        </w:rPr>
        <w:t>.</w:t>
      </w:r>
    </w:p>
    <w:p w14:paraId="6974B0AC"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Caicedo, K. V., &amp; Zuluaga, Y. E. L. (2015). </w:t>
      </w:r>
      <w:r>
        <w:rPr>
          <w:rFonts w:ascii="Times New Roman" w:eastAsia="Times New Roman" w:hAnsi="Times New Roman" w:cs="Times New Roman"/>
        </w:rPr>
        <w:t>Educación en emergencias o emergencias en educación. Plumilla Educativa, 16(2), 324-341.</w:t>
      </w:r>
    </w:p>
    <w:p w14:paraId="3CAAA035"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Castillo, M., Camargo-Abello, M., &amp; Morales, R. (2011). Decisiones Acertadas de Educación en Emergencias. Bogotá-Colombia: MEN-RET-UNICEF. Recuperado de https://www. </w:t>
      </w:r>
      <w:proofErr w:type="spellStart"/>
      <w:r>
        <w:rPr>
          <w:rFonts w:ascii="Times New Roman" w:eastAsia="Times New Roman" w:hAnsi="Times New Roman" w:cs="Times New Roman"/>
        </w:rPr>
        <w:t>mineducacion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w:t>
      </w:r>
      <w:proofErr w:type="spellEnd"/>
      <w:r>
        <w:rPr>
          <w:rFonts w:ascii="Times New Roman" w:eastAsia="Times New Roman" w:hAnsi="Times New Roman" w:cs="Times New Roman"/>
        </w:rPr>
        <w:t xml:space="preserve">/1759/w3-article-347129. </w:t>
      </w:r>
      <w:proofErr w:type="spellStart"/>
      <w:r>
        <w:rPr>
          <w:rFonts w:ascii="Times New Roman" w:eastAsia="Times New Roman" w:hAnsi="Times New Roman" w:cs="Times New Roman"/>
        </w:rPr>
        <w:t>html</w:t>
      </w:r>
      <w:proofErr w:type="spellEnd"/>
      <w:r>
        <w:rPr>
          <w:rFonts w:ascii="Times New Roman" w:eastAsia="Times New Roman" w:hAnsi="Times New Roman" w:cs="Times New Roman"/>
        </w:rPr>
        <w:t>.</w:t>
      </w:r>
    </w:p>
    <w:p w14:paraId="78D0F667"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lastRenderedPageBreak/>
        <w:t>Circular 009 de 2021. Por la cual se regula el retorno gradual y seguro a la presencialidad bajo esquema de alternancia. Diario Oficial Colombia.</w:t>
      </w:r>
    </w:p>
    <w:p w14:paraId="0389D5DE"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Circular 11 de 2020. Por la cual se invita a la comunidad educativa a continuar con la normalidad académica. Diario Oficial Colombia.</w:t>
      </w:r>
    </w:p>
    <w:p w14:paraId="59DE5048"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Circular 19 de 2020. Por la cual se establecen estrategias de apoyo al aprendizaje y prestación de servicios educativos. Diario Oficial Colombia.</w:t>
      </w:r>
    </w:p>
    <w:p w14:paraId="40BAC18F"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Circular 21 de 2020. Por la cual se dan orientaciones para el trabajo académico en casa y manejo del personal docente. Diario Oficial Colombia.</w:t>
      </w:r>
    </w:p>
    <w:p w14:paraId="57A057E6"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Circular 21 de 2021. Por la cual se regulan los recursos FOME para continuar la bioseguridad en sedes educativas oficiales. Diario Oficial Colombia.</w:t>
      </w:r>
    </w:p>
    <w:p w14:paraId="3D59014D"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Circular Externa 047 de 2021. Por la cual se dan orientaciones para impulsar la vacunación en jóvenes de 12 a 24 años. Diario Oficial Colombia.</w:t>
      </w:r>
    </w:p>
    <w:p w14:paraId="1A93AC49"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Pr>
          <w:rFonts w:ascii="Times New Roman" w:eastAsia="Times New Roman" w:hAnsi="Times New Roman" w:cs="Times New Roman"/>
        </w:rPr>
        <w:t>Dabenigno</w:t>
      </w:r>
      <w:proofErr w:type="spellEnd"/>
      <w:r>
        <w:rPr>
          <w:rFonts w:ascii="Times New Roman" w:eastAsia="Times New Roman" w:hAnsi="Times New Roman" w:cs="Times New Roman"/>
        </w:rPr>
        <w:t xml:space="preserve">, V., Frey, A. F., &amp; Meo, A. I. (2021). COVID-19 y TIC: estrategias pedagógicas y desigualdades educativas en clave institucional. </w:t>
      </w:r>
      <w:proofErr w:type="spellStart"/>
      <w:r w:rsidRPr="00DB5D88">
        <w:rPr>
          <w:rFonts w:ascii="Times New Roman" w:eastAsia="Times New Roman" w:hAnsi="Times New Roman" w:cs="Times New Roman"/>
          <w:lang w:val="en-US"/>
        </w:rPr>
        <w:t>Itinerarios</w:t>
      </w:r>
      <w:proofErr w:type="spellEnd"/>
      <w:r w:rsidRPr="00DB5D88">
        <w:rPr>
          <w:rFonts w:ascii="Times New Roman" w:eastAsia="Times New Roman" w:hAnsi="Times New Roman" w:cs="Times New Roman"/>
          <w:lang w:val="en-US"/>
        </w:rPr>
        <w:t xml:space="preserve"> </w:t>
      </w:r>
      <w:proofErr w:type="spellStart"/>
      <w:r w:rsidRPr="00DB5D88">
        <w:rPr>
          <w:rFonts w:ascii="Times New Roman" w:eastAsia="Times New Roman" w:hAnsi="Times New Roman" w:cs="Times New Roman"/>
          <w:lang w:val="en-US"/>
        </w:rPr>
        <w:t>educativos</w:t>
      </w:r>
      <w:proofErr w:type="spellEnd"/>
      <w:r w:rsidRPr="00DB5D88">
        <w:rPr>
          <w:rFonts w:ascii="Times New Roman" w:eastAsia="Times New Roman" w:hAnsi="Times New Roman" w:cs="Times New Roman"/>
          <w:lang w:val="en-US"/>
        </w:rPr>
        <w:t xml:space="preserve">, 1(14), 30-44. </w:t>
      </w:r>
    </w:p>
    <w:p w14:paraId="2E4520AC"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Damani, K., </w:t>
      </w:r>
      <w:proofErr w:type="spellStart"/>
      <w:r w:rsidRPr="00DB5D88">
        <w:rPr>
          <w:rFonts w:ascii="Times New Roman" w:eastAsia="Times New Roman" w:hAnsi="Times New Roman" w:cs="Times New Roman"/>
          <w:lang w:val="en-US"/>
        </w:rPr>
        <w:t>Daltry</w:t>
      </w:r>
      <w:proofErr w:type="spellEnd"/>
      <w:r w:rsidRPr="00DB5D88">
        <w:rPr>
          <w:rFonts w:ascii="Times New Roman" w:eastAsia="Times New Roman" w:hAnsi="Times New Roman" w:cs="Times New Roman"/>
          <w:lang w:val="en-US"/>
        </w:rPr>
        <w:t>, R., Jordan, K., Hills, L., &amp; Evans, L. (2022). EdTech for Ugandan girls: Affordances of different technologies for girls' secondary education during the Covid‐19 pandemic. Development Policy Review, 40, e12619.</w:t>
      </w:r>
    </w:p>
    <w:p w14:paraId="2D032A25"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de Santamaria, M. S., &amp; Reimers, F. (2022). Colombia: Learning at home.</w:t>
      </w:r>
    </w:p>
    <w:p w14:paraId="6D74A81A" w14:textId="77777777" w:rsidR="001775FF" w:rsidRDefault="00000000">
      <w:pPr>
        <w:spacing w:after="160" w:line="276" w:lineRule="auto"/>
        <w:ind w:hanging="709"/>
        <w:jc w:val="both"/>
        <w:rPr>
          <w:rFonts w:ascii="Times New Roman" w:eastAsia="Times New Roman" w:hAnsi="Times New Roman" w:cs="Times New Roman"/>
        </w:rPr>
      </w:pPr>
      <w:proofErr w:type="spellStart"/>
      <w:r w:rsidRPr="00DB5D88">
        <w:rPr>
          <w:rFonts w:ascii="Times New Roman" w:eastAsia="Times New Roman" w:hAnsi="Times New Roman" w:cs="Times New Roman"/>
          <w:lang w:val="en-US"/>
        </w:rPr>
        <w:t>Decreto</w:t>
      </w:r>
      <w:proofErr w:type="spellEnd"/>
      <w:r w:rsidRPr="00DB5D88">
        <w:rPr>
          <w:rFonts w:ascii="Times New Roman" w:eastAsia="Times New Roman" w:hAnsi="Times New Roman" w:cs="Times New Roman"/>
          <w:lang w:val="en-US"/>
        </w:rPr>
        <w:t xml:space="preserve"> 109 de 2021. </w:t>
      </w:r>
      <w:r>
        <w:rPr>
          <w:rFonts w:ascii="Times New Roman" w:eastAsia="Times New Roman" w:hAnsi="Times New Roman" w:cs="Times New Roman"/>
        </w:rPr>
        <w:t>Por el cual se adopta el Plan Nacional de Vacunación. Diario Oficial Colombia.</w:t>
      </w:r>
    </w:p>
    <w:p w14:paraId="2F61E568"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Decreto 297 de 2020. Por el cual se establece la cuarentena obligatoria y el cierre de escuelas. Boletín Oficial de la República Argentina.</w:t>
      </w:r>
    </w:p>
    <w:p w14:paraId="59AA9947"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Decreto 639 de 2020. Por el cual se crea el Programa de apoyo al empleo formal - PAEF. Diario Oficial Colombia.</w:t>
      </w:r>
    </w:p>
    <w:p w14:paraId="00C7121D"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Decreto 662 de 2020. Por el cual se crea el Fondo Solidario para la Educación y se establecen medidas contra la deserción escolar. Diario Oficial Colombia.</w:t>
      </w:r>
    </w:p>
    <w:p w14:paraId="700E836D"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012 de 2020. Por la cual se dan orientaciones para establecimientos educativos no oficiales. Diario Oficial Colombia.</w:t>
      </w:r>
    </w:p>
    <w:p w14:paraId="77D4E2D5"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016 de 2020. Por la cual se establecen orientaciones para la implementación del plan de alternancia educativa. Diario Oficial Colombia.</w:t>
      </w:r>
    </w:p>
    <w:p w14:paraId="3D0F02E2"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017 de 2020. Por la cual se regula el uso de recursos del Fondo de Mitigación de Emergencias para la Alternancia. Diario Oficial Colombia.</w:t>
      </w:r>
    </w:p>
    <w:p w14:paraId="03EE7B89"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018 de 2020. Por la cual se dan orientaciones para la implementación de los planes de alternancia 2021. Diario Oficial Colombia.</w:t>
      </w:r>
    </w:p>
    <w:p w14:paraId="6F05EBAB"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lastRenderedPageBreak/>
        <w:t>Directiva 05 de 2020. Por la cual se dan orientaciones para el trabajo académico en casa y programa de alimentación. Diario Oficial Colombia.</w:t>
      </w:r>
    </w:p>
    <w:p w14:paraId="512EE21A"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09 de 2020. Por la cual se establece la continuidad de trabajo académico en casa hasta el 31 de mayo. Diario Oficial Colombia.</w:t>
      </w:r>
    </w:p>
    <w:p w14:paraId="0EA4D757"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Directiva 1 de 2021. Por la cual se informa sobre el personal educativo no oficial para el Plan Nacional de Vacunación. Diario Oficial Colombia.</w:t>
      </w:r>
    </w:p>
    <w:p w14:paraId="64E5DA8D"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Pr>
          <w:rFonts w:ascii="Times New Roman" w:eastAsia="Times New Roman" w:hAnsi="Times New Roman" w:cs="Times New Roman"/>
        </w:rPr>
        <w:t xml:space="preserve">Gandolfi, E., </w:t>
      </w:r>
      <w:proofErr w:type="spellStart"/>
      <w:r>
        <w:rPr>
          <w:rFonts w:ascii="Times New Roman" w:eastAsia="Times New Roman" w:hAnsi="Times New Roman" w:cs="Times New Roman"/>
        </w:rPr>
        <w:t>Ferdig</w:t>
      </w:r>
      <w:proofErr w:type="spellEnd"/>
      <w:r>
        <w:rPr>
          <w:rFonts w:ascii="Times New Roman" w:eastAsia="Times New Roman" w:hAnsi="Times New Roman" w:cs="Times New Roman"/>
        </w:rPr>
        <w:t xml:space="preserve">, R. E., &amp; </w:t>
      </w:r>
      <w:proofErr w:type="spellStart"/>
      <w:r>
        <w:rPr>
          <w:rFonts w:ascii="Times New Roman" w:eastAsia="Times New Roman" w:hAnsi="Times New Roman" w:cs="Times New Roman"/>
        </w:rPr>
        <w:t>Kratcoski</w:t>
      </w:r>
      <w:proofErr w:type="spellEnd"/>
      <w:r>
        <w:rPr>
          <w:rFonts w:ascii="Times New Roman" w:eastAsia="Times New Roman" w:hAnsi="Times New Roman" w:cs="Times New Roman"/>
        </w:rPr>
        <w:t xml:space="preserve">, A. (2021). </w:t>
      </w:r>
      <w:r w:rsidRPr="00DB5D88">
        <w:rPr>
          <w:rFonts w:ascii="Times New Roman" w:eastAsia="Times New Roman" w:hAnsi="Times New Roman" w:cs="Times New Roman"/>
          <w:lang w:val="en-US"/>
        </w:rPr>
        <w:t>A new educational normal an intersectionality-led exploration of education, learning technologies, and diversity during COVID-19. Technology in Society, 66, 101637.</w:t>
      </w:r>
    </w:p>
    <w:p w14:paraId="60FE4B08"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Garay, F. O. M., </w:t>
      </w:r>
      <w:proofErr w:type="spellStart"/>
      <w:r w:rsidRPr="00DB5D88">
        <w:rPr>
          <w:rFonts w:ascii="Times New Roman" w:eastAsia="Times New Roman" w:hAnsi="Times New Roman" w:cs="Times New Roman"/>
          <w:lang w:val="en-US"/>
        </w:rPr>
        <w:t>Tataje</w:t>
      </w:r>
      <w:proofErr w:type="spellEnd"/>
      <w:r w:rsidRPr="00DB5D88">
        <w:rPr>
          <w:rFonts w:ascii="Times New Roman" w:eastAsia="Times New Roman" w:hAnsi="Times New Roman" w:cs="Times New Roman"/>
          <w:lang w:val="en-US"/>
        </w:rPr>
        <w:t xml:space="preserve">, F. A. O., Cuellar, K. J. M., &amp; de </w:t>
      </w:r>
      <w:proofErr w:type="spellStart"/>
      <w:r w:rsidRPr="00DB5D88">
        <w:rPr>
          <w:rFonts w:ascii="Times New Roman" w:eastAsia="Times New Roman" w:hAnsi="Times New Roman" w:cs="Times New Roman"/>
          <w:lang w:val="en-US"/>
        </w:rPr>
        <w:t>Olgado</w:t>
      </w:r>
      <w:proofErr w:type="spellEnd"/>
      <w:r w:rsidRPr="00DB5D88">
        <w:rPr>
          <w:rFonts w:ascii="Times New Roman" w:eastAsia="Times New Roman" w:hAnsi="Times New Roman" w:cs="Times New Roman"/>
          <w:lang w:val="en-US"/>
        </w:rPr>
        <w:t xml:space="preserve">, E. C. V. (2021). </w:t>
      </w:r>
      <w:r>
        <w:rPr>
          <w:rFonts w:ascii="Times New Roman" w:eastAsia="Times New Roman" w:hAnsi="Times New Roman" w:cs="Times New Roman"/>
        </w:rPr>
        <w:t>Estrategias pedagógicas en entornos virtuales de aprendizaje en tiempos de pandemia por Covid-19. Revista de Ciencias Sociales, 27(4), 202-213.</w:t>
      </w:r>
    </w:p>
    <w:p w14:paraId="16915CC2"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García-Zabaleta, E., Sánchez-Cruzado, C., </w:t>
      </w:r>
      <w:proofErr w:type="spellStart"/>
      <w:r>
        <w:rPr>
          <w:rFonts w:ascii="Times New Roman" w:eastAsia="Times New Roman" w:hAnsi="Times New Roman" w:cs="Times New Roman"/>
        </w:rPr>
        <w:t>Campión</w:t>
      </w:r>
      <w:proofErr w:type="spellEnd"/>
      <w:r>
        <w:rPr>
          <w:rFonts w:ascii="Times New Roman" w:eastAsia="Times New Roman" w:hAnsi="Times New Roman" w:cs="Times New Roman"/>
        </w:rPr>
        <w:t xml:space="preserve">, R. S., &amp; Sánchez-Compaña, M. T. (2021). Competencia digital y necesidades formativas del profesorado de Educación Infantil. Un estudio antes y después de la Covid-19. </w:t>
      </w:r>
      <w:proofErr w:type="spellStart"/>
      <w:r>
        <w:rPr>
          <w:rFonts w:ascii="Times New Roman" w:eastAsia="Times New Roman" w:hAnsi="Times New Roman" w:cs="Times New Roman"/>
        </w:rPr>
        <w:t>Edutec</w:t>
      </w:r>
      <w:proofErr w:type="spellEnd"/>
      <w:r>
        <w:rPr>
          <w:rFonts w:ascii="Times New Roman" w:eastAsia="Times New Roman" w:hAnsi="Times New Roman" w:cs="Times New Roman"/>
        </w:rPr>
        <w:t xml:space="preserve">, Revista Electrónica de Tecnología Educativa, (76), 90-108. </w:t>
      </w:r>
    </w:p>
    <w:p w14:paraId="61A032B3"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González </w:t>
      </w:r>
      <w:proofErr w:type="spellStart"/>
      <w:r>
        <w:rPr>
          <w:rFonts w:ascii="Times New Roman" w:eastAsia="Times New Roman" w:hAnsi="Times New Roman" w:cs="Times New Roman"/>
        </w:rPr>
        <w:t>Such</w:t>
      </w:r>
      <w:proofErr w:type="spellEnd"/>
      <w:r>
        <w:rPr>
          <w:rFonts w:ascii="Times New Roman" w:eastAsia="Times New Roman" w:hAnsi="Times New Roman" w:cs="Times New Roman"/>
        </w:rPr>
        <w:t xml:space="preserve">, J., Perales </w:t>
      </w:r>
      <w:proofErr w:type="spellStart"/>
      <w:r>
        <w:rPr>
          <w:rFonts w:ascii="Times New Roman" w:eastAsia="Times New Roman" w:hAnsi="Times New Roman" w:cs="Times New Roman"/>
        </w:rPr>
        <w:t>Montolio</w:t>
      </w:r>
      <w:proofErr w:type="spellEnd"/>
      <w:r>
        <w:rPr>
          <w:rFonts w:ascii="Times New Roman" w:eastAsia="Times New Roman" w:hAnsi="Times New Roman" w:cs="Times New Roman"/>
        </w:rPr>
        <w:t>, M. J., Ortega Gaite, S., &amp; Sánchez Delgado, P. (2021). Ecologías de aprendizaje digital de los docentes: la Escuela en casa durante la Covid-19 en la Comunidad Valenciana.</w:t>
      </w:r>
    </w:p>
    <w:p w14:paraId="59C5EE05"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Habermas, J. (1984). The theory of communicative action: Jurgen Habermas; trans. By </w:t>
      </w:r>
      <w:proofErr w:type="spellStart"/>
      <w:r w:rsidRPr="00DB5D88">
        <w:rPr>
          <w:rFonts w:ascii="Times New Roman" w:eastAsia="Times New Roman" w:hAnsi="Times New Roman" w:cs="Times New Roman"/>
          <w:lang w:val="en-US"/>
        </w:rPr>
        <w:t>thomas</w:t>
      </w:r>
      <w:proofErr w:type="spellEnd"/>
      <w:r w:rsidRPr="00DB5D88">
        <w:rPr>
          <w:rFonts w:ascii="Times New Roman" w:eastAsia="Times New Roman" w:hAnsi="Times New Roman" w:cs="Times New Roman"/>
          <w:lang w:val="en-US"/>
        </w:rPr>
        <w:t xml:space="preserve"> McCarthy. Heinemann.</w:t>
      </w:r>
    </w:p>
    <w:p w14:paraId="19490C5C"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Hernandez-Vicente, P. O. H. V. (2022). </w:t>
      </w:r>
      <w:r>
        <w:rPr>
          <w:rFonts w:ascii="Times New Roman" w:eastAsia="Times New Roman" w:hAnsi="Times New Roman" w:cs="Times New Roman"/>
        </w:rPr>
        <w:t xml:space="preserve">La educación a distancia sus retos y sus oportunidades. Con-Ciencia Serrana Boletín Científico de la Escuela Preparatoria </w:t>
      </w:r>
      <w:proofErr w:type="spellStart"/>
      <w:r>
        <w:rPr>
          <w:rFonts w:ascii="Times New Roman" w:eastAsia="Times New Roman" w:hAnsi="Times New Roman" w:cs="Times New Roman"/>
        </w:rPr>
        <w:t>Ixtlahuaco</w:t>
      </w:r>
      <w:proofErr w:type="spellEnd"/>
      <w:r>
        <w:rPr>
          <w:rFonts w:ascii="Times New Roman" w:eastAsia="Times New Roman" w:hAnsi="Times New Roman" w:cs="Times New Roman"/>
        </w:rPr>
        <w:t>, 4(7), 14-17.</w:t>
      </w:r>
    </w:p>
    <w:p w14:paraId="226BF765" w14:textId="77777777" w:rsidR="001775FF" w:rsidRDefault="00000000">
      <w:pPr>
        <w:spacing w:after="160" w:line="276" w:lineRule="auto"/>
        <w:ind w:hanging="709"/>
        <w:jc w:val="both"/>
        <w:rPr>
          <w:rFonts w:ascii="Times New Roman" w:eastAsia="Times New Roman" w:hAnsi="Times New Roman" w:cs="Times New Roman"/>
        </w:rPr>
      </w:pPr>
      <w:proofErr w:type="spellStart"/>
      <w:r w:rsidRPr="00DB5D88">
        <w:rPr>
          <w:rFonts w:ascii="Times New Roman" w:eastAsia="Times New Roman" w:hAnsi="Times New Roman" w:cs="Times New Roman"/>
          <w:lang w:val="en-US"/>
        </w:rPr>
        <w:t>Hordatt</w:t>
      </w:r>
      <w:proofErr w:type="spellEnd"/>
      <w:r w:rsidRPr="00DB5D88">
        <w:rPr>
          <w:rFonts w:ascii="Times New Roman" w:eastAsia="Times New Roman" w:hAnsi="Times New Roman" w:cs="Times New Roman"/>
          <w:lang w:val="en-US"/>
        </w:rPr>
        <w:t xml:space="preserve"> Gentles, C., &amp; Haynes Brown, T. (2021). Latin American and Caribbean teachers¿ transition to online teaching during the COVID-19 pandemic: challenges, changes and lessons learned. </w:t>
      </w:r>
      <w:r>
        <w:rPr>
          <w:rFonts w:ascii="Times New Roman" w:eastAsia="Times New Roman" w:hAnsi="Times New Roman" w:cs="Times New Roman"/>
        </w:rPr>
        <w:t>Pixel-Bit.</w:t>
      </w:r>
    </w:p>
    <w:p w14:paraId="22FEAC98"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INEE. (2010). Normas mínimas para la educación en situaciones de emergencia. INEE.</w:t>
      </w:r>
    </w:p>
    <w:p w14:paraId="1F3000F6"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Pr>
          <w:rFonts w:ascii="Times New Roman" w:eastAsia="Times New Roman" w:hAnsi="Times New Roman" w:cs="Times New Roman"/>
        </w:rPr>
        <w:t xml:space="preserve">Jaime-Osorio, M. F., Campos-Perdomo, M. A., &amp; Rodríguez-Artunduaga, G. I. (2023). </w:t>
      </w:r>
      <w:r w:rsidRPr="00DB5D88">
        <w:rPr>
          <w:rFonts w:ascii="Times New Roman" w:eastAsia="Times New Roman" w:hAnsi="Times New Roman" w:cs="Times New Roman"/>
          <w:lang w:val="en-US"/>
        </w:rPr>
        <w:t>Remote Learning in Times of COVID-19 in Colombia. HOW, 30(1), 85-101.</w:t>
      </w:r>
    </w:p>
    <w:p w14:paraId="0FA1AA9F"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Jameson J.M., </w:t>
      </w:r>
      <w:proofErr w:type="spellStart"/>
      <w:r w:rsidRPr="00DB5D88">
        <w:rPr>
          <w:rFonts w:ascii="Times New Roman" w:eastAsia="Times New Roman" w:hAnsi="Times New Roman" w:cs="Times New Roman"/>
          <w:lang w:val="en-US"/>
        </w:rPr>
        <w:t>Stegenga</w:t>
      </w:r>
      <w:proofErr w:type="spellEnd"/>
      <w:r w:rsidRPr="00DB5D88">
        <w:rPr>
          <w:rFonts w:ascii="Times New Roman" w:eastAsia="Times New Roman" w:hAnsi="Times New Roman" w:cs="Times New Roman"/>
          <w:lang w:val="en-US"/>
        </w:rPr>
        <w:t xml:space="preserve"> S.M., Ryan J., &amp; Green A. (2020). Free Appropriate Public Education in the Time of COVID-19. Rural Special Education Quarterly, 39(4), 181-192. https://doi.org/10.1177/8756870520959659</w:t>
      </w:r>
    </w:p>
    <w:p w14:paraId="481B53A7" w14:textId="77777777" w:rsidR="001775FF" w:rsidRDefault="00000000">
      <w:pPr>
        <w:spacing w:after="160" w:line="276" w:lineRule="auto"/>
        <w:ind w:hanging="709"/>
        <w:jc w:val="both"/>
        <w:rPr>
          <w:rFonts w:ascii="Times New Roman" w:eastAsia="Times New Roman" w:hAnsi="Times New Roman" w:cs="Times New Roman"/>
        </w:rPr>
      </w:pPr>
      <w:proofErr w:type="spellStart"/>
      <w:r w:rsidRPr="00DB5D88">
        <w:rPr>
          <w:rFonts w:ascii="Times New Roman" w:eastAsia="Times New Roman" w:hAnsi="Times New Roman" w:cs="Times New Roman"/>
          <w:lang w:val="en-US"/>
        </w:rPr>
        <w:t>Kosiyaporn</w:t>
      </w:r>
      <w:proofErr w:type="spellEnd"/>
      <w:r w:rsidRPr="00DB5D88">
        <w:rPr>
          <w:rFonts w:ascii="Times New Roman" w:eastAsia="Times New Roman" w:hAnsi="Times New Roman" w:cs="Times New Roman"/>
          <w:lang w:val="en-US"/>
        </w:rPr>
        <w:t xml:space="preserve">, H., </w:t>
      </w:r>
      <w:proofErr w:type="spellStart"/>
      <w:r w:rsidRPr="00DB5D88">
        <w:rPr>
          <w:rFonts w:ascii="Times New Roman" w:eastAsia="Times New Roman" w:hAnsi="Times New Roman" w:cs="Times New Roman"/>
          <w:lang w:val="en-US"/>
        </w:rPr>
        <w:t>Phaiyarom</w:t>
      </w:r>
      <w:proofErr w:type="spellEnd"/>
      <w:r w:rsidRPr="00DB5D88">
        <w:rPr>
          <w:rFonts w:ascii="Times New Roman" w:eastAsia="Times New Roman" w:hAnsi="Times New Roman" w:cs="Times New Roman"/>
          <w:lang w:val="en-US"/>
        </w:rPr>
        <w:t xml:space="preserve">, M., </w:t>
      </w:r>
      <w:proofErr w:type="spellStart"/>
      <w:r w:rsidRPr="00DB5D88">
        <w:rPr>
          <w:rFonts w:ascii="Times New Roman" w:eastAsia="Times New Roman" w:hAnsi="Times New Roman" w:cs="Times New Roman"/>
          <w:lang w:val="en-US"/>
        </w:rPr>
        <w:t>Uansri</w:t>
      </w:r>
      <w:proofErr w:type="spellEnd"/>
      <w:r w:rsidRPr="00DB5D88">
        <w:rPr>
          <w:rFonts w:ascii="Times New Roman" w:eastAsia="Times New Roman" w:hAnsi="Times New Roman" w:cs="Times New Roman"/>
          <w:lang w:val="en-US"/>
        </w:rPr>
        <w:t xml:space="preserve">, S., </w:t>
      </w:r>
      <w:proofErr w:type="spellStart"/>
      <w:r w:rsidRPr="00DB5D88">
        <w:rPr>
          <w:rFonts w:ascii="Times New Roman" w:eastAsia="Times New Roman" w:hAnsi="Times New Roman" w:cs="Times New Roman"/>
          <w:lang w:val="en-US"/>
        </w:rPr>
        <w:t>Kunpeuk</w:t>
      </w:r>
      <w:proofErr w:type="spellEnd"/>
      <w:r w:rsidRPr="00DB5D88">
        <w:rPr>
          <w:rFonts w:ascii="Times New Roman" w:eastAsia="Times New Roman" w:hAnsi="Times New Roman" w:cs="Times New Roman"/>
          <w:lang w:val="en-US"/>
        </w:rPr>
        <w:t xml:space="preserve">, W., </w:t>
      </w:r>
      <w:proofErr w:type="spellStart"/>
      <w:r w:rsidRPr="00DB5D88">
        <w:rPr>
          <w:rFonts w:ascii="Times New Roman" w:eastAsia="Times New Roman" w:hAnsi="Times New Roman" w:cs="Times New Roman"/>
          <w:lang w:val="en-US"/>
        </w:rPr>
        <w:t>Julchoo</w:t>
      </w:r>
      <w:proofErr w:type="spellEnd"/>
      <w:r w:rsidRPr="00DB5D88">
        <w:rPr>
          <w:rFonts w:ascii="Times New Roman" w:eastAsia="Times New Roman" w:hAnsi="Times New Roman" w:cs="Times New Roman"/>
          <w:lang w:val="en-US"/>
        </w:rPr>
        <w:t xml:space="preserve">, S., Sinam, P., ... </w:t>
      </w:r>
      <w:r>
        <w:rPr>
          <w:rFonts w:ascii="Times New Roman" w:eastAsia="Times New Roman" w:hAnsi="Times New Roman" w:cs="Times New Roman"/>
        </w:rPr>
        <w:t xml:space="preserve">&amp; </w:t>
      </w:r>
      <w:proofErr w:type="spellStart"/>
      <w:r>
        <w:rPr>
          <w:rFonts w:ascii="Times New Roman" w:eastAsia="Times New Roman" w:hAnsi="Times New Roman" w:cs="Times New Roman"/>
        </w:rPr>
        <w:t>Suphanchaimat</w:t>
      </w:r>
      <w:proofErr w:type="spellEnd"/>
      <w:r>
        <w:rPr>
          <w:rFonts w:ascii="Times New Roman" w:eastAsia="Times New Roman" w:hAnsi="Times New Roman" w:cs="Times New Roman"/>
        </w:rPr>
        <w:t xml:space="preserve">, R. (2023). </w:t>
      </w:r>
      <w:r w:rsidRPr="00DB5D88">
        <w:rPr>
          <w:rFonts w:ascii="Times New Roman" w:eastAsia="Times New Roman" w:hAnsi="Times New Roman" w:cs="Times New Roman"/>
          <w:lang w:val="en-US"/>
        </w:rPr>
        <w:t xml:space="preserve">Characteristics of distance education interventions and related </w:t>
      </w:r>
      <w:r w:rsidRPr="00DB5D88">
        <w:rPr>
          <w:rFonts w:ascii="Times New Roman" w:eastAsia="Times New Roman" w:hAnsi="Times New Roman" w:cs="Times New Roman"/>
          <w:lang w:val="en-US"/>
        </w:rPr>
        <w:lastRenderedPageBreak/>
        <w:t xml:space="preserve">outcomes in primary school children during COVID-19 pandemic: A systematic review. </w:t>
      </w:r>
      <w:proofErr w:type="spellStart"/>
      <w:r>
        <w:rPr>
          <w:rFonts w:ascii="Times New Roman" w:eastAsia="Times New Roman" w:hAnsi="Times New Roman" w:cs="Times New Roman"/>
        </w:rPr>
        <w:t>Plos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one</w:t>
      </w:r>
      <w:proofErr w:type="spellEnd"/>
      <w:r>
        <w:rPr>
          <w:rFonts w:ascii="Times New Roman" w:eastAsia="Times New Roman" w:hAnsi="Times New Roman" w:cs="Times New Roman"/>
        </w:rPr>
        <w:t xml:space="preserve">, 18(10), e0286674. </w:t>
      </w:r>
    </w:p>
    <w:p w14:paraId="5B6508DB" w14:textId="77777777" w:rsidR="001775FF" w:rsidRDefault="00000000">
      <w:pPr>
        <w:spacing w:after="160" w:line="276" w:lineRule="auto"/>
        <w:ind w:hanging="709"/>
        <w:jc w:val="both"/>
        <w:rPr>
          <w:rFonts w:ascii="Times New Roman" w:eastAsia="Times New Roman" w:hAnsi="Times New Roman" w:cs="Times New Roman"/>
        </w:rPr>
      </w:pPr>
      <w:proofErr w:type="spellStart"/>
      <w:r>
        <w:rPr>
          <w:rFonts w:ascii="Times New Roman" w:eastAsia="Times New Roman" w:hAnsi="Times New Roman" w:cs="Times New Roman"/>
        </w:rPr>
        <w:t>Lavell</w:t>
      </w:r>
      <w:proofErr w:type="spellEnd"/>
      <w:r>
        <w:rPr>
          <w:rFonts w:ascii="Times New Roman" w:eastAsia="Times New Roman" w:hAnsi="Times New Roman" w:cs="Times New Roman"/>
        </w:rPr>
        <w:t xml:space="preserve">, A. (2000). Sobre la gestión del riesgo: apuntes hacia una definición. Biblioteca Virtual en Salud de Desastres-OPS, 4, 1-22.   </w:t>
      </w:r>
    </w:p>
    <w:p w14:paraId="4E119592"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Ley 385 de 2020. Por la cual se declara la emergencia sanitaria. Diario Oficial Colombia.</w:t>
      </w:r>
    </w:p>
    <w:p w14:paraId="13A3DDFB"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Luna, G. M. M., &amp; Martínez, J. E. M. (2022). La Gestión Educativa más allá de los límites del aula: una apuesta en medio de la emergencia. Panorama, 16(30).   </w:t>
      </w:r>
    </w:p>
    <w:p w14:paraId="108794CB"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Medina, R. D. J. C., Pulido, J. W. G., &amp; Medina, M. P. C. (2020). Estrategias didácticas y ambientes de aprendizaje emergentes, durante el período de confinamiento en casa, en la educación rural en Colombia. Durante el período de confinamiento en casa, en la educación rural en Colombia. 3(2), 1-20.   </w:t>
      </w:r>
    </w:p>
    <w:p w14:paraId="3C63E279"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Pr>
          <w:rFonts w:ascii="Times New Roman" w:eastAsia="Times New Roman" w:hAnsi="Times New Roman" w:cs="Times New Roman"/>
        </w:rPr>
        <w:t>Mkhize</w:t>
      </w:r>
      <w:proofErr w:type="spellEnd"/>
      <w:r>
        <w:rPr>
          <w:rFonts w:ascii="Times New Roman" w:eastAsia="Times New Roman" w:hAnsi="Times New Roman" w:cs="Times New Roman"/>
        </w:rPr>
        <w:t xml:space="preserve">, T. R., &amp; Davids, N. M. (2023). Desafíos de la movilización de recursos en las escuelas rurales de Sudáfrica:¿ Qué podemos aprender?. </w:t>
      </w:r>
      <w:r w:rsidRPr="00DB5D88">
        <w:rPr>
          <w:rFonts w:ascii="Times New Roman" w:eastAsia="Times New Roman" w:hAnsi="Times New Roman" w:cs="Times New Roman"/>
          <w:lang w:val="en-US"/>
        </w:rPr>
        <w:t xml:space="preserve">REMIE-Multidisciplinary Journal of Educational Research, 13(3) </w:t>
      </w:r>
    </w:p>
    <w:p w14:paraId="5EF414AC" w14:textId="77777777" w:rsidR="001775FF" w:rsidRPr="00DB5D88" w:rsidRDefault="00000000">
      <w:pPr>
        <w:spacing w:after="160" w:line="276" w:lineRule="auto"/>
        <w:ind w:hanging="709"/>
        <w:jc w:val="both"/>
        <w:rPr>
          <w:rFonts w:ascii="Times New Roman" w:eastAsia="Times New Roman" w:hAnsi="Times New Roman" w:cs="Times New Roman"/>
          <w:lang w:val="en-US"/>
        </w:rPr>
      </w:pPr>
      <w:proofErr w:type="spellStart"/>
      <w:r w:rsidRPr="00DB5D88">
        <w:rPr>
          <w:rFonts w:ascii="Times New Roman" w:eastAsia="Times New Roman" w:hAnsi="Times New Roman" w:cs="Times New Roman"/>
          <w:lang w:val="en-US"/>
        </w:rPr>
        <w:t>Niemczyk</w:t>
      </w:r>
      <w:proofErr w:type="spellEnd"/>
      <w:r w:rsidRPr="00DB5D88">
        <w:rPr>
          <w:rFonts w:ascii="Times New Roman" w:eastAsia="Times New Roman" w:hAnsi="Times New Roman" w:cs="Times New Roman"/>
          <w:lang w:val="en-US"/>
        </w:rPr>
        <w:t>, E. (2023). Vision for the Post-Pandemic Education in BRICS. Space and Culture, India, 11(1), 1-6.</w:t>
      </w:r>
    </w:p>
    <w:p w14:paraId="54C9E6B8"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Paulin, H. L., García </w:t>
      </w:r>
      <w:proofErr w:type="spellStart"/>
      <w:r w:rsidRPr="00DB5D88">
        <w:rPr>
          <w:rFonts w:ascii="Times New Roman" w:eastAsia="Times New Roman" w:hAnsi="Times New Roman" w:cs="Times New Roman"/>
          <w:lang w:val="en-US"/>
        </w:rPr>
        <w:t>Bastán</w:t>
      </w:r>
      <w:proofErr w:type="spellEnd"/>
      <w:r w:rsidRPr="00DB5D88">
        <w:rPr>
          <w:rFonts w:ascii="Times New Roman" w:eastAsia="Times New Roman" w:hAnsi="Times New Roman" w:cs="Times New Roman"/>
          <w:lang w:val="en-US"/>
        </w:rPr>
        <w:t xml:space="preserve">, G., </w:t>
      </w:r>
      <w:proofErr w:type="spellStart"/>
      <w:r w:rsidRPr="00DB5D88">
        <w:rPr>
          <w:rFonts w:ascii="Times New Roman" w:eastAsia="Times New Roman" w:hAnsi="Times New Roman" w:cs="Times New Roman"/>
          <w:lang w:val="en-US"/>
        </w:rPr>
        <w:t>D'aloisio</w:t>
      </w:r>
      <w:proofErr w:type="spellEnd"/>
      <w:r w:rsidRPr="00DB5D88">
        <w:rPr>
          <w:rFonts w:ascii="Times New Roman" w:eastAsia="Times New Roman" w:hAnsi="Times New Roman" w:cs="Times New Roman"/>
          <w:lang w:val="en-US"/>
        </w:rPr>
        <w:t xml:space="preserve">, F., </w:t>
      </w:r>
      <w:proofErr w:type="spellStart"/>
      <w:r w:rsidRPr="00DB5D88">
        <w:rPr>
          <w:rFonts w:ascii="Times New Roman" w:eastAsia="Times New Roman" w:hAnsi="Times New Roman" w:cs="Times New Roman"/>
          <w:lang w:val="en-US"/>
        </w:rPr>
        <w:t>Caparelli</w:t>
      </w:r>
      <w:proofErr w:type="spellEnd"/>
      <w:r w:rsidRPr="00DB5D88">
        <w:rPr>
          <w:rFonts w:ascii="Times New Roman" w:eastAsia="Times New Roman" w:hAnsi="Times New Roman" w:cs="Times New Roman"/>
          <w:lang w:val="en-US"/>
        </w:rPr>
        <w:t xml:space="preserve">, F., Pinto, M. E., Arias, L. A., ... </w:t>
      </w:r>
      <w:r>
        <w:rPr>
          <w:rFonts w:ascii="Times New Roman" w:eastAsia="Times New Roman" w:hAnsi="Times New Roman" w:cs="Times New Roman"/>
        </w:rPr>
        <w:t>&amp; Ferreyra, M. F. (2021). Derechos juveniles en cuarentena: significaciones, malestares subjetivos y estrategias de referentes adultos en barrios populares de Córdoba.</w:t>
      </w:r>
    </w:p>
    <w:p w14:paraId="60A511AF"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sidRPr="00DB5D88">
        <w:rPr>
          <w:rFonts w:ascii="Times New Roman" w:eastAsia="Times New Roman" w:hAnsi="Times New Roman" w:cs="Times New Roman"/>
          <w:lang w:val="en-US"/>
        </w:rPr>
        <w:t xml:space="preserve">Raby, R., Laurel, D., </w:t>
      </w:r>
      <w:proofErr w:type="spellStart"/>
      <w:r w:rsidRPr="00DB5D88">
        <w:rPr>
          <w:rFonts w:ascii="Times New Roman" w:eastAsia="Times New Roman" w:hAnsi="Times New Roman" w:cs="Times New Roman"/>
          <w:lang w:val="en-US"/>
        </w:rPr>
        <w:t>Waboso</w:t>
      </w:r>
      <w:proofErr w:type="spellEnd"/>
      <w:r w:rsidRPr="00DB5D88">
        <w:rPr>
          <w:rFonts w:ascii="Times New Roman" w:eastAsia="Times New Roman" w:hAnsi="Times New Roman" w:cs="Times New Roman"/>
          <w:lang w:val="en-US"/>
        </w:rPr>
        <w:t>, N., Harding, E., Grossman, K., Myatt, H., Sheppard, L. C. (2021). School Is Closed! Opportunity, Challenge, and Inequality in the Early Days of the Pandemic. Journal of Teaching and Learning, 15(2), 40-59.</w:t>
      </w:r>
    </w:p>
    <w:p w14:paraId="37A4558B"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Rega, I., </w:t>
      </w:r>
      <w:proofErr w:type="spellStart"/>
      <w:r w:rsidRPr="00DB5D88">
        <w:rPr>
          <w:rFonts w:ascii="Times New Roman" w:eastAsia="Times New Roman" w:hAnsi="Times New Roman" w:cs="Times New Roman"/>
          <w:lang w:val="en-US"/>
        </w:rPr>
        <w:t>Palyukh</w:t>
      </w:r>
      <w:proofErr w:type="spellEnd"/>
      <w:r w:rsidRPr="00DB5D88">
        <w:rPr>
          <w:rFonts w:ascii="Times New Roman" w:eastAsia="Times New Roman" w:hAnsi="Times New Roman" w:cs="Times New Roman"/>
          <w:lang w:val="en-US"/>
        </w:rPr>
        <w:t xml:space="preserve">, A., </w:t>
      </w:r>
      <w:proofErr w:type="spellStart"/>
      <w:r w:rsidRPr="00DB5D88">
        <w:rPr>
          <w:rFonts w:ascii="Times New Roman" w:eastAsia="Times New Roman" w:hAnsi="Times New Roman" w:cs="Times New Roman"/>
          <w:lang w:val="en-US"/>
        </w:rPr>
        <w:t>Motsa</w:t>
      </w:r>
      <w:proofErr w:type="spellEnd"/>
      <w:r w:rsidRPr="00DB5D88">
        <w:rPr>
          <w:rFonts w:ascii="Times New Roman" w:eastAsia="Times New Roman" w:hAnsi="Times New Roman" w:cs="Times New Roman"/>
          <w:lang w:val="en-US"/>
        </w:rPr>
        <w:t xml:space="preserve">, A., </w:t>
      </w:r>
      <w:proofErr w:type="spellStart"/>
      <w:r w:rsidRPr="00DB5D88">
        <w:rPr>
          <w:rFonts w:ascii="Times New Roman" w:eastAsia="Times New Roman" w:hAnsi="Times New Roman" w:cs="Times New Roman"/>
          <w:lang w:val="en-US"/>
        </w:rPr>
        <w:t>Pysarchuk</w:t>
      </w:r>
      <w:proofErr w:type="spellEnd"/>
      <w:r w:rsidRPr="00DB5D88">
        <w:rPr>
          <w:rFonts w:ascii="Times New Roman" w:eastAsia="Times New Roman" w:hAnsi="Times New Roman" w:cs="Times New Roman"/>
          <w:lang w:val="en-US"/>
        </w:rPr>
        <w:t xml:space="preserve">, O., &amp; </w:t>
      </w:r>
      <w:proofErr w:type="spellStart"/>
      <w:r w:rsidRPr="00DB5D88">
        <w:rPr>
          <w:rFonts w:ascii="Times New Roman" w:eastAsia="Times New Roman" w:hAnsi="Times New Roman" w:cs="Times New Roman"/>
          <w:lang w:val="en-US"/>
        </w:rPr>
        <w:t>Androshchuk</w:t>
      </w:r>
      <w:proofErr w:type="spellEnd"/>
      <w:r w:rsidRPr="00DB5D88">
        <w:rPr>
          <w:rFonts w:ascii="Times New Roman" w:eastAsia="Times New Roman" w:hAnsi="Times New Roman" w:cs="Times New Roman"/>
          <w:lang w:val="en-US"/>
        </w:rPr>
        <w:t xml:space="preserve">, A. (2023). IMPROVING THE LEGISLATIVE AND REGULATORY SUPPORT OF HIGHER EDUCATION INSTITUTIONS IN UKRAINE. </w:t>
      </w:r>
      <w:r>
        <w:rPr>
          <w:rFonts w:ascii="Times New Roman" w:eastAsia="Times New Roman" w:hAnsi="Times New Roman" w:cs="Times New Roman"/>
        </w:rPr>
        <w:t>Lex Humana (ISSN 2175-0947), 15(1), 574-588.</w:t>
      </w:r>
    </w:p>
    <w:p w14:paraId="36728FB6"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103 de 2020. Por la cual se establece el cierre de la escuela por 14 días ante casos sospechosos de COVID-19. CONSEJO FEDERAL DE EDUCACIÓN.</w:t>
      </w:r>
    </w:p>
    <w:p w14:paraId="64000744"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106 de 2020. Por la cual se crea el programa "Seguimos Educando". CONSEJO FEDERAL DE EDUCACIÓN.</w:t>
      </w:r>
    </w:p>
    <w:p w14:paraId="7023A6D9"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108 de 2020. Por la cual se suspende la clases presenciales por 14 días en todos los niveles. CONSEJO FEDERAL DE EDUCACIÓN.</w:t>
      </w:r>
    </w:p>
    <w:p w14:paraId="22C4C94C"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125 de 2020. Por la cual se autoriza grados presenciales de acuerdo con realidades sanitarias. CONSEJO FEDERAL DE EDUCACIÓN.</w:t>
      </w:r>
    </w:p>
    <w:p w14:paraId="726B22D3"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lastRenderedPageBreak/>
        <w:t>Resolución 363 de 2020. Por la cual se suspende la prueba APRENDER 2020. CONSEJO FEDERAL DE EDUCACIÓN.</w:t>
      </w:r>
    </w:p>
    <w:p w14:paraId="1323FE07"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366 de 2020. Por la cual se establecen modalidades de presencialidad y no presencialidad. CONSEJO FEDERAL DE EDUCACIÓN.</w:t>
      </w:r>
    </w:p>
    <w:p w14:paraId="66D5124E"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369 de 2020. Por la cual se implementa el programa ACOMPAÑAR para reanudar trayectorias educativas. CONSEJO FEDERAL DE EDUCACIÓN.</w:t>
      </w:r>
    </w:p>
    <w:p w14:paraId="172C2A48"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386 de 2021. Por la cual se prioriza el sostenimiento de clases presenciales. CONSEJO FEDERAL DE EDUCACIÓN.</w:t>
      </w:r>
    </w:p>
    <w:p w14:paraId="145ECDDF"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394 de 2021. Por la cual se prioriza la presencialidad y se proponen alternativas para la no presencialidad. CONSEJO FEDERAL DE EDUCACIÓN.</w:t>
      </w:r>
    </w:p>
    <w:p w14:paraId="140CA2F4"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400 de 2021. Por la cual se modifica el protocolo ante disminución de emergencia sanitaria. CONSEJO FEDERAL DE EDUCACIÓN.</w:t>
      </w:r>
    </w:p>
    <w:p w14:paraId="43D4344C"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404 de 2021. Por la cual se recomienda el retorno pleno a la presencialidad. CONSEJO FEDERAL DE EDUCACIÓN.</w:t>
      </w:r>
    </w:p>
    <w:p w14:paraId="3EE7104A"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82 de 2020. Por la cual se desarrollan actividades escolares con recomendaciones preventivas. CONSEJO FEDERAL DE EDUCACIÓN.</w:t>
      </w:r>
    </w:p>
    <w:p w14:paraId="4168C811"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Resolución de 25 de abril de 2020. Por la cual se establece la flexibilización de la cuarentena. CONSEJO FEDERAL DE EDUCACIÓN</w:t>
      </w:r>
    </w:p>
    <w:p w14:paraId="6BCFFE34" w14:textId="77777777" w:rsidR="001775FF" w:rsidRPr="00DB5D88" w:rsidRDefault="00000000">
      <w:pPr>
        <w:spacing w:after="160" w:line="276" w:lineRule="auto"/>
        <w:ind w:hanging="709"/>
        <w:jc w:val="both"/>
        <w:rPr>
          <w:rFonts w:ascii="Times New Roman" w:eastAsia="Times New Roman" w:hAnsi="Times New Roman" w:cs="Times New Roman"/>
          <w:lang w:val="en-US"/>
        </w:rPr>
      </w:pPr>
      <w:r>
        <w:rPr>
          <w:rFonts w:ascii="Times New Roman" w:eastAsia="Times New Roman" w:hAnsi="Times New Roman" w:cs="Times New Roman"/>
        </w:rPr>
        <w:t xml:space="preserve">Reynosa Navarro, E., Guerra-Ayala, M. J., Casimiro-Urcos, W. H., Vélez-Jiménez, D., Casimiro-Urcos, N. C., Salazar-Montoya, E. O., ... </w:t>
      </w:r>
      <w:r w:rsidRPr="00DB5D88">
        <w:rPr>
          <w:rFonts w:ascii="Times New Roman" w:eastAsia="Times New Roman" w:hAnsi="Times New Roman" w:cs="Times New Roman"/>
          <w:lang w:val="en-US"/>
        </w:rPr>
        <w:t>&amp; Callejas Torres, J. C. (2021). Relevance of the Mass Media in Prevention, Education and Contextual Management of COVID-19. World Journal on Educational Technology: Current Issues, 13(1), 129-146.</w:t>
      </w:r>
    </w:p>
    <w:p w14:paraId="2557FC6A" w14:textId="77777777" w:rsidR="001775FF" w:rsidRDefault="00000000">
      <w:pPr>
        <w:spacing w:after="160" w:line="276" w:lineRule="auto"/>
        <w:ind w:hanging="709"/>
        <w:jc w:val="both"/>
        <w:rPr>
          <w:rFonts w:ascii="Times New Roman" w:eastAsia="Times New Roman" w:hAnsi="Times New Roman" w:cs="Times New Roman"/>
        </w:rPr>
      </w:pPr>
      <w:r w:rsidRPr="00DB5D88">
        <w:rPr>
          <w:rFonts w:ascii="Times New Roman" w:eastAsia="Times New Roman" w:hAnsi="Times New Roman" w:cs="Times New Roman"/>
          <w:lang w:val="en-US"/>
        </w:rPr>
        <w:t xml:space="preserve">Rodríguez, D. F. B., Figueredo, O. R. B., &amp; </w:t>
      </w:r>
      <w:proofErr w:type="spellStart"/>
      <w:r w:rsidRPr="00DB5D88">
        <w:rPr>
          <w:rFonts w:ascii="Times New Roman" w:eastAsia="Times New Roman" w:hAnsi="Times New Roman" w:cs="Times New Roman"/>
          <w:lang w:val="en-US"/>
        </w:rPr>
        <w:t>Mendivelso</w:t>
      </w:r>
      <w:proofErr w:type="spellEnd"/>
      <w:r w:rsidRPr="00DB5D88">
        <w:rPr>
          <w:rFonts w:ascii="Times New Roman" w:eastAsia="Times New Roman" w:hAnsi="Times New Roman" w:cs="Times New Roman"/>
          <w:lang w:val="en-US"/>
        </w:rPr>
        <w:t xml:space="preserve">, M. B. (2020). </w:t>
      </w:r>
      <w:r>
        <w:rPr>
          <w:rFonts w:ascii="Times New Roman" w:eastAsia="Times New Roman" w:hAnsi="Times New Roman" w:cs="Times New Roman"/>
        </w:rPr>
        <w:t>Percepciones de los profesores y estudiantes sobre la enseñanza remota durante la pandemia COVID-19: Caso del Colegio Misael Pastrana Borrero. Educación Química, 31(5), 129-135.</w:t>
      </w:r>
    </w:p>
    <w:p w14:paraId="3B7B3B29"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 xml:space="preserve">Romero, C., </w:t>
      </w:r>
      <w:proofErr w:type="spellStart"/>
      <w:r>
        <w:rPr>
          <w:rFonts w:ascii="Times New Roman" w:eastAsia="Times New Roman" w:hAnsi="Times New Roman" w:cs="Times New Roman"/>
        </w:rPr>
        <w:t>Krichesky</w:t>
      </w:r>
      <w:proofErr w:type="spellEnd"/>
      <w:r>
        <w:rPr>
          <w:rFonts w:ascii="Times New Roman" w:eastAsia="Times New Roman" w:hAnsi="Times New Roman" w:cs="Times New Roman"/>
        </w:rPr>
        <w:t xml:space="preserve">, G., &amp; Zacarías, N. (2023). Desigualdad y segregación educativa durante la pandemia COVID 19 en Argentina. </w:t>
      </w:r>
    </w:p>
    <w:p w14:paraId="019966C5" w14:textId="77777777" w:rsidR="001775FF" w:rsidRDefault="00000000">
      <w:pPr>
        <w:spacing w:after="160" w:line="276" w:lineRule="auto"/>
        <w:ind w:hanging="709"/>
        <w:jc w:val="both"/>
        <w:rPr>
          <w:rFonts w:ascii="Times New Roman" w:eastAsia="Times New Roman" w:hAnsi="Times New Roman" w:cs="Times New Roman"/>
        </w:rPr>
      </w:pPr>
      <w:proofErr w:type="spellStart"/>
      <w:r>
        <w:rPr>
          <w:rFonts w:ascii="Times New Roman" w:eastAsia="Times New Roman" w:hAnsi="Times New Roman" w:cs="Times New Roman"/>
        </w:rPr>
        <w:t>Rotondi</w:t>
      </w:r>
      <w:proofErr w:type="spellEnd"/>
      <w:r>
        <w:rPr>
          <w:rFonts w:ascii="Times New Roman" w:eastAsia="Times New Roman" w:hAnsi="Times New Roman" w:cs="Times New Roman"/>
        </w:rPr>
        <w:t>, G., Verón, D., Andrada, A., Artazo, G. C., Gregorio, L. A., &amp; Zamarbide, A. (2021). Políticas públicas educativas: Intervenciones desde el trabajo social.</w:t>
      </w:r>
    </w:p>
    <w:p w14:paraId="750842FE" w14:textId="77777777" w:rsidR="001775FF" w:rsidRDefault="00000000">
      <w:pPr>
        <w:spacing w:after="160" w:line="276" w:lineRule="auto"/>
        <w:ind w:hanging="709"/>
        <w:jc w:val="both"/>
        <w:rPr>
          <w:rFonts w:ascii="Times New Roman" w:eastAsia="Times New Roman" w:hAnsi="Times New Roman" w:cs="Times New Roman"/>
        </w:rPr>
      </w:pPr>
      <w:proofErr w:type="spellStart"/>
      <w:r>
        <w:rPr>
          <w:rFonts w:ascii="Times New Roman" w:eastAsia="Times New Roman" w:hAnsi="Times New Roman" w:cs="Times New Roman"/>
        </w:rPr>
        <w:t>Smythe</w:t>
      </w:r>
      <w:proofErr w:type="spellEnd"/>
      <w:r>
        <w:rPr>
          <w:rFonts w:ascii="Times New Roman" w:eastAsia="Times New Roman" w:hAnsi="Times New Roman" w:cs="Times New Roman"/>
        </w:rPr>
        <w:t xml:space="preserve">, S., Wilbur, A., Hunter, E. (2021). </w:t>
      </w:r>
      <w:r w:rsidRPr="00DB5D88">
        <w:rPr>
          <w:rFonts w:ascii="Times New Roman" w:eastAsia="Times New Roman" w:hAnsi="Times New Roman" w:cs="Times New Roman"/>
          <w:lang w:val="en-US"/>
        </w:rPr>
        <w:t xml:space="preserve">Inventive pedagogies and social solidarity: The work of community-based adult educators during COVID-19 in British Columbia, Canada. </w:t>
      </w:r>
      <w:r>
        <w:rPr>
          <w:rFonts w:ascii="Times New Roman" w:eastAsia="Times New Roman" w:hAnsi="Times New Roman" w:cs="Times New Roman"/>
        </w:rPr>
        <w:t xml:space="preserve">International </w:t>
      </w:r>
      <w:proofErr w:type="spellStart"/>
      <w:r>
        <w:rPr>
          <w:rFonts w:ascii="Times New Roman" w:eastAsia="Times New Roman" w:hAnsi="Times New Roman" w:cs="Times New Roman"/>
        </w:rPr>
        <w:t>Review</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67(1), 9-29.</w:t>
      </w:r>
    </w:p>
    <w:p w14:paraId="58FF09A7" w14:textId="77777777" w:rsidR="001775FF" w:rsidRDefault="00000000">
      <w:pPr>
        <w:spacing w:after="160" w:line="276" w:lineRule="auto"/>
        <w:ind w:hanging="709"/>
        <w:jc w:val="both"/>
        <w:rPr>
          <w:rFonts w:ascii="Times New Roman" w:eastAsia="Times New Roman" w:hAnsi="Times New Roman" w:cs="Times New Roman"/>
        </w:rPr>
      </w:pPr>
      <w:r>
        <w:rPr>
          <w:rFonts w:ascii="Times New Roman" w:eastAsia="Times New Roman" w:hAnsi="Times New Roman" w:cs="Times New Roman"/>
        </w:rPr>
        <w:t>Vargas-Murillo, G. (2020). Estrategias educativas y tecnología digital en el proceso enseñanza aprendizaje. Cuadernos Hospital de Clínicas, 61(1), 114-129.</w:t>
      </w:r>
    </w:p>
    <w:p w14:paraId="5FFA00EA" w14:textId="12D4CA40" w:rsidR="001775FF" w:rsidRPr="00DB5D88" w:rsidRDefault="00000000" w:rsidP="00DB5D88">
      <w:pPr>
        <w:spacing w:after="160" w:line="276" w:lineRule="auto"/>
        <w:ind w:hanging="709"/>
        <w:jc w:val="both"/>
        <w:rPr>
          <w:rFonts w:ascii="Times New Roman" w:eastAsia="Times New Roman" w:hAnsi="Times New Roman" w:cs="Times New Roman"/>
          <w:highlight w:val="yellow"/>
        </w:rPr>
      </w:pPr>
      <w:r>
        <w:rPr>
          <w:rFonts w:ascii="Times New Roman" w:eastAsia="Times New Roman" w:hAnsi="Times New Roman" w:cs="Times New Roman"/>
        </w:rPr>
        <w:lastRenderedPageBreak/>
        <w:t>Vega, K., &amp; Zuluaga, Y. E. L. (2015). Educación en emergencias o emergencias en educación. Plumilla Educativa, 16(2), 324-341.</w:t>
      </w:r>
    </w:p>
    <w:sectPr w:rsidR="001775FF" w:rsidRPr="00DB5D88">
      <w:type w:val="continuous"/>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D455" w14:textId="77777777" w:rsidR="000F6634" w:rsidRDefault="000F6634">
      <w:r>
        <w:separator/>
      </w:r>
    </w:p>
  </w:endnote>
  <w:endnote w:type="continuationSeparator" w:id="0">
    <w:p w14:paraId="7C77DC34" w14:textId="77777777" w:rsidR="000F6634" w:rsidRDefault="000F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A9C51E7-D036-A24B-9431-CE4EDE15EC5D}"/>
    <w:embedBold r:id="rId2" w:fontKey="{0815C64C-D1AF-3C4D-B2AC-B20C62046F00}"/>
    <w:embedItalic r:id="rId3" w:fontKey="{F245B6A5-D7B4-174C-A914-A5D0E5FD22B1}"/>
  </w:font>
  <w:font w:name="Aptos">
    <w:panose1 w:val="020B0004020202020204"/>
    <w:charset w:val="00"/>
    <w:family w:val="swiss"/>
    <w:pitch w:val="variable"/>
    <w:sig w:usb0="20000287" w:usb1="00000003" w:usb2="00000000" w:usb3="00000000" w:csb0="0000019F" w:csb1="00000000"/>
    <w:embedRegular r:id="rId4" w:fontKey="{FA732B1A-9AF6-6049-B64F-D5E185AEFD6D}"/>
    <w:embedBold r:id="rId5" w:fontKey="{604F0E89-D732-F74F-A423-15BC61C5C4A3}"/>
    <w:embedItalic r:id="rId6" w:fontKey="{35A2E0F1-7B5C-B14D-B96F-4A86C5F288B7}"/>
  </w:font>
  <w:font w:name="Aptos Display">
    <w:panose1 w:val="020B0004020202020204"/>
    <w:charset w:val="00"/>
    <w:family w:val="swiss"/>
    <w:pitch w:val="variable"/>
    <w:sig w:usb0="20000287" w:usb1="00000003" w:usb2="00000000" w:usb3="00000000" w:csb0="0000019F" w:csb1="00000000"/>
    <w:embedRegular r:id="rId7" w:fontKey="{F10DF52C-E7A1-AC48-BBDD-C69877B6E6DD}"/>
  </w:font>
  <w:font w:name="Roboto">
    <w:panose1 w:val="02000000000000000000"/>
    <w:charset w:val="00"/>
    <w:family w:val="auto"/>
    <w:pitch w:val="variable"/>
    <w:sig w:usb0="E0000AFF" w:usb1="5000217F" w:usb2="00000021" w:usb3="00000000" w:csb0="0000019F" w:csb1="00000000"/>
    <w:embedRegular r:id="rId8" w:fontKey="{A82FF50D-B0E6-DB48-8C35-BD4CC43F5177}"/>
    <w:embedBold r:id="rId9" w:fontKey="{64E7E649-6EC1-EF4B-A28B-7BD6023414A5}"/>
  </w:font>
  <w:font w:name="Noto Sans">
    <w:panose1 w:val="020B0502040504020204"/>
    <w:charset w:val="00"/>
    <w:family w:val="swiss"/>
    <w:pitch w:val="variable"/>
    <w:sig w:usb0="E00082FF" w:usb1="400078FF" w:usb2="00000021" w:usb3="00000000" w:csb0="0000019F" w:csb1="00000000"/>
    <w:embedRegular r:id="rId10" w:fontKey="{DC400C11-0BDC-F14C-8023-B5A38D70A96E}"/>
  </w:font>
  <w:font w:name="ADLaM Display">
    <w:panose1 w:val="02010000000000000000"/>
    <w:charset w:val="4D"/>
    <w:family w:val="auto"/>
    <w:pitch w:val="variable"/>
    <w:sig w:usb0="8000206F" w:usb1="4200004A" w:usb2="00000000" w:usb3="00000000" w:csb0="00000001" w:csb1="00000000"/>
    <w:embedRegular r:id="rId11" w:fontKey="{F5D1D00D-4987-7B43-9957-C626D1AA3EEB}"/>
  </w:font>
  <w:font w:name="Arial">
    <w:panose1 w:val="020B0604020202020204"/>
    <w:charset w:val="00"/>
    <w:family w:val="swiss"/>
    <w:pitch w:val="variable"/>
    <w:sig w:usb0="E0002EFF" w:usb1="C000785B" w:usb2="00000009" w:usb3="00000000" w:csb0="000001FF" w:csb1="00000000"/>
    <w:embedRegular r:id="rId12" w:fontKey="{D8A1057E-5915-5A43-B513-9754F74E62B9}"/>
    <w:embedBold r:id="rId13" w:fontKey="{51897B6B-1989-1140-B984-B65C0E438115}"/>
    <w:embedItalic r:id="rId14" w:fontKey="{1E8B6580-C39D-DA4C-8302-4711D56FF2E2}"/>
    <w:embedBoldItalic r:id="rId15" w:fontKey="{BB5FB00E-1A11-BB41-8922-BB413D1B1E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9A71" w14:textId="77777777" w:rsidR="001775FF"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03AA0BD" w14:textId="77777777" w:rsidR="001775FF" w:rsidRDefault="001775FF">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421F" w14:textId="77777777" w:rsidR="001775FF"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DB5D88">
      <w:rPr>
        <w:noProof/>
        <w:color w:val="000000"/>
      </w:rPr>
      <w:t>4</w:t>
    </w:r>
    <w:r>
      <w:rPr>
        <w:color w:val="000000"/>
      </w:rPr>
      <w:fldChar w:fldCharType="end"/>
    </w:r>
  </w:p>
  <w:p w14:paraId="243A8B29" w14:textId="77777777" w:rsidR="001775FF" w:rsidRDefault="00000000" w:rsidP="00C71BE0">
    <w:pPr>
      <w:pBdr>
        <w:top w:val="nil"/>
        <w:left w:val="nil"/>
        <w:bottom w:val="nil"/>
        <w:right w:val="nil"/>
        <w:between w:val="nil"/>
      </w:pBdr>
      <w:tabs>
        <w:tab w:val="center" w:pos="4419"/>
        <w:tab w:val="right" w:pos="8838"/>
      </w:tabs>
      <w:ind w:right="360"/>
      <w:rPr>
        <w:color w:val="000000"/>
      </w:rPr>
    </w:pPr>
    <w:r>
      <w:rPr>
        <w:noProof/>
      </w:rPr>
      <w:drawing>
        <wp:anchor distT="0" distB="0" distL="0" distR="0" simplePos="0" relativeHeight="251658240" behindDoc="1" locked="0" layoutInCell="1" hidden="0" allowOverlap="1" wp14:anchorId="22D6A4DF" wp14:editId="1F7FB39D">
          <wp:simplePos x="0" y="0"/>
          <wp:positionH relativeFrom="column">
            <wp:posOffset>-697229</wp:posOffset>
          </wp:positionH>
          <wp:positionV relativeFrom="paragraph">
            <wp:posOffset>710550</wp:posOffset>
          </wp:positionV>
          <wp:extent cx="7791450" cy="13019852"/>
          <wp:effectExtent l="0" t="0" r="0" b="0"/>
          <wp:wrapNone/>
          <wp:docPr id="2060168195"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1"/>
                  <a:srcRect t="1648" b="-19689"/>
                  <a:stretch>
                    <a:fillRect/>
                  </a:stretch>
                </pic:blipFill>
                <pic:spPr>
                  <a:xfrm>
                    <a:off x="0" y="0"/>
                    <a:ext cx="7791450" cy="1301985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0CD8" w14:textId="77777777" w:rsidR="000F6634" w:rsidRDefault="000F6634">
      <w:r>
        <w:separator/>
      </w:r>
    </w:p>
  </w:footnote>
  <w:footnote w:type="continuationSeparator" w:id="0">
    <w:p w14:paraId="14ADF892" w14:textId="77777777" w:rsidR="000F6634" w:rsidRDefault="000F6634">
      <w:r>
        <w:continuationSeparator/>
      </w:r>
    </w:p>
  </w:footnote>
  <w:footnote w:id="1">
    <w:p w14:paraId="619D1315" w14:textId="77777777" w:rsidR="001775FF" w:rsidRDefault="00000000">
      <w:pPr>
        <w:rPr>
          <w:sz w:val="20"/>
          <w:szCs w:val="20"/>
        </w:rPr>
      </w:pPr>
      <w:r>
        <w:rPr>
          <w:vertAlign w:val="superscript"/>
        </w:rPr>
        <w:footnoteRef/>
      </w:r>
      <w:r>
        <w:rPr>
          <w:sz w:val="20"/>
          <w:szCs w:val="20"/>
        </w:rPr>
        <w:t xml:space="preserve"> Universidad Antonio de Nariño.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8D5B" w14:textId="77777777" w:rsidR="001775FF" w:rsidRDefault="000F6634">
    <w:pPr>
      <w:pBdr>
        <w:top w:val="nil"/>
        <w:left w:val="nil"/>
        <w:bottom w:val="nil"/>
        <w:right w:val="nil"/>
        <w:between w:val="nil"/>
      </w:pBdr>
      <w:tabs>
        <w:tab w:val="center" w:pos="4419"/>
        <w:tab w:val="right" w:pos="8838"/>
      </w:tabs>
      <w:rPr>
        <w:color w:val="000000"/>
      </w:rPr>
    </w:pPr>
    <w:r>
      <w:rPr>
        <w:color w:val="000000"/>
      </w:rPr>
      <w:pict w14:anchorId="6A5E2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41.8pt;height:623.9pt;z-index:-251656192;mso-wrap-edited:f;mso-width-percent:0;mso-height-percent:0;mso-position-horizontal:center;mso-position-horizontal-relative:margin;mso-position-vertical:center;mso-position-vertical-relative:margin;mso-width-percent:0;mso-height-percent:0">
          <v:imagedata r:id="rId1" o:title="image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E1EF" w14:textId="74A83B49" w:rsidR="001775FF" w:rsidRDefault="00C71BE0">
    <w:pPr>
      <w:pBdr>
        <w:top w:val="nil"/>
        <w:left w:val="nil"/>
        <w:bottom w:val="nil"/>
        <w:right w:val="nil"/>
        <w:between w:val="nil"/>
      </w:pBdr>
      <w:tabs>
        <w:tab w:val="center" w:pos="4419"/>
        <w:tab w:val="right" w:pos="8838"/>
      </w:tabs>
      <w:jc w:val="right"/>
      <w:rPr>
        <w:color w:val="000000"/>
      </w:rPr>
    </w:pPr>
    <w:r>
      <w:rPr>
        <w:noProof/>
      </w:rPr>
      <w:drawing>
        <wp:anchor distT="0" distB="0" distL="0" distR="0" simplePos="0" relativeHeight="251655168" behindDoc="1" locked="0" layoutInCell="1" hidden="0" allowOverlap="1" wp14:anchorId="3EDCED02" wp14:editId="57041E14">
          <wp:simplePos x="0" y="0"/>
          <wp:positionH relativeFrom="column">
            <wp:posOffset>-1193499</wp:posOffset>
          </wp:positionH>
          <wp:positionV relativeFrom="paragraph">
            <wp:posOffset>-367295</wp:posOffset>
          </wp:positionV>
          <wp:extent cx="8629650" cy="12300648"/>
          <wp:effectExtent l="0" t="0" r="0" b="0"/>
          <wp:wrapNone/>
          <wp:docPr id="2060168201"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1"/>
                  <a:srcRect l="2280" t="11881" r="-2280" b="-23402"/>
                  <a:stretch>
                    <a:fillRect/>
                  </a:stretch>
                </pic:blipFill>
                <pic:spPr>
                  <a:xfrm>
                    <a:off x="0" y="0"/>
                    <a:ext cx="8629650" cy="12300648"/>
                  </a:xfrm>
                  <a:prstGeom prst="rect">
                    <a:avLst/>
                  </a:prstGeom>
                  <a:ln/>
                </pic:spPr>
              </pic:pic>
            </a:graphicData>
          </a:graphic>
        </wp:anchor>
      </w:drawing>
    </w:r>
    <w:r>
      <w:rPr>
        <w:noProof/>
      </w:rPr>
      <w:drawing>
        <wp:anchor distT="0" distB="0" distL="114300" distR="114300" simplePos="0" relativeHeight="251656192" behindDoc="0" locked="0" layoutInCell="1" hidden="0" allowOverlap="1" wp14:anchorId="2A1C64F2" wp14:editId="02F1F798">
          <wp:simplePos x="0" y="0"/>
          <wp:positionH relativeFrom="column">
            <wp:posOffset>5249721</wp:posOffset>
          </wp:positionH>
          <wp:positionV relativeFrom="paragraph">
            <wp:posOffset>-234114</wp:posOffset>
          </wp:positionV>
          <wp:extent cx="1182370" cy="393700"/>
          <wp:effectExtent l="0" t="0" r="0" b="0"/>
          <wp:wrapSquare wrapText="bothSides" distT="0" distB="0" distL="114300" distR="114300"/>
          <wp:docPr id="2060168198" name="image2.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Logotipo&#10;&#10;Descripción generada automáticamente"/>
                  <pic:cNvPicPr preferRelativeResize="0"/>
                </pic:nvPicPr>
                <pic:blipFill>
                  <a:blip r:embed="rId2"/>
                  <a:srcRect t="25202" b="27390"/>
                  <a:stretch>
                    <a:fillRect/>
                  </a:stretch>
                </pic:blipFill>
                <pic:spPr>
                  <a:xfrm>
                    <a:off x="0" y="0"/>
                    <a:ext cx="1182370" cy="393700"/>
                  </a:xfrm>
                  <a:prstGeom prst="rect">
                    <a:avLst/>
                  </a:prstGeom>
                  <a:ln/>
                </pic:spPr>
              </pic:pic>
            </a:graphicData>
          </a:graphic>
        </wp:anchor>
      </w:drawing>
    </w:r>
    <w:r>
      <w:rPr>
        <w:noProof/>
      </w:rPr>
      <mc:AlternateContent>
        <mc:Choice Requires="wps">
          <w:drawing>
            <wp:anchor distT="0" distB="0" distL="114300" distR="114300" simplePos="0" relativeHeight="251657216" behindDoc="0" locked="0" layoutInCell="1" hidden="0" allowOverlap="1" wp14:anchorId="68036F91" wp14:editId="41C3807A">
              <wp:simplePos x="0" y="0"/>
              <wp:positionH relativeFrom="column">
                <wp:posOffset>-405323</wp:posOffset>
              </wp:positionH>
              <wp:positionV relativeFrom="paragraph">
                <wp:posOffset>-227676</wp:posOffset>
              </wp:positionV>
              <wp:extent cx="1821547" cy="426214"/>
              <wp:effectExtent l="0" t="0" r="0" b="0"/>
              <wp:wrapNone/>
              <wp:docPr id="2060168189" name="Rectángulo 2060168189"/>
              <wp:cNvGraphicFramePr/>
              <a:graphic xmlns:a="http://schemas.openxmlformats.org/drawingml/2006/main">
                <a:graphicData uri="http://schemas.microsoft.com/office/word/2010/wordprocessingShape">
                  <wps:wsp>
                    <wps:cNvSpPr/>
                    <wps:spPr>
                      <a:xfrm>
                        <a:off x="0" y="0"/>
                        <a:ext cx="1821547" cy="426214"/>
                      </a:xfrm>
                      <a:prstGeom prst="rect">
                        <a:avLst/>
                      </a:prstGeom>
                      <a:solidFill>
                        <a:schemeClr val="lt1"/>
                      </a:solidFill>
                      <a:ln w="9525" cap="flat" cmpd="sng">
                        <a:solidFill>
                          <a:srgbClr val="000000"/>
                        </a:solidFill>
                        <a:prstDash val="solid"/>
                        <a:round/>
                        <a:headEnd type="none" w="sm" len="sm"/>
                        <a:tailEnd type="none" w="sm" len="sm"/>
                      </a:ln>
                    </wps:spPr>
                    <wps:txbx>
                      <w:txbxContent>
                        <w:p w14:paraId="7BE39603" w14:textId="77777777" w:rsidR="001775FF" w:rsidRPr="00C71BE0" w:rsidRDefault="00000000">
                          <w:pPr>
                            <w:jc w:val="center"/>
                            <w:textDirection w:val="btLr"/>
                          </w:pPr>
                          <w:r w:rsidRPr="00C71BE0">
                            <w:rPr>
                              <w:sz w:val="20"/>
                            </w:rPr>
                            <w:t>Volumen 4 Numero 1</w:t>
                          </w:r>
                        </w:p>
                        <w:p w14:paraId="64FEF1E4" w14:textId="77777777" w:rsidR="001775FF" w:rsidRPr="00C71BE0" w:rsidRDefault="00000000">
                          <w:pPr>
                            <w:jc w:val="center"/>
                            <w:textDirection w:val="btLr"/>
                          </w:pPr>
                          <w:r w:rsidRPr="00C71BE0">
                            <w:rPr>
                              <w:sz w:val="20"/>
                            </w:rPr>
                            <w:t>Enero de 2025</w:t>
                          </w:r>
                        </w:p>
                      </w:txbxContent>
                    </wps:txbx>
                    <wps:bodyPr spcFirstLastPara="1" wrap="square" lIns="91425" tIns="45700" rIns="91425" bIns="45700" anchor="t" anchorCtr="0">
                      <a:noAutofit/>
                    </wps:bodyPr>
                  </wps:wsp>
                </a:graphicData>
              </a:graphic>
            </wp:anchor>
          </w:drawing>
        </mc:Choice>
        <mc:Fallback>
          <w:pict>
            <v:rect w14:anchorId="68036F91" id="Rectángulo 2060168189" o:spid="_x0000_s1032" style="position:absolute;left:0;text-align:left;margin-left:-31.9pt;margin-top:-17.95pt;width:143.45pt;height:33.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" fillcolor="white [3201]">
              <v:stroke startarrowwidth="narrow" startarrowlength="short" endarrowwidth="narrow" endarrowlength="short" joinstyle="round"/>
              <v:textbox inset="2.53958mm,1.2694mm,2.53958mm,1.2694mm">
                <w:txbxContent>
                  <w:p w14:paraId="7BE39603" w14:textId="77777777" w:rsidR="001775FF" w:rsidRPr="00C71BE0" w:rsidRDefault="00000000">
                    <w:pPr>
                      <w:jc w:val="center"/>
                      <w:textDirection w:val="btLr"/>
                    </w:pPr>
                    <w:r w:rsidRPr="00C71BE0">
                      <w:rPr>
                        <w:sz w:val="20"/>
                      </w:rPr>
                      <w:t>Volumen 4 Numero 1</w:t>
                    </w:r>
                  </w:p>
                  <w:p w14:paraId="64FEF1E4" w14:textId="77777777" w:rsidR="001775FF" w:rsidRPr="00C71BE0" w:rsidRDefault="00000000">
                    <w:pPr>
                      <w:jc w:val="center"/>
                      <w:textDirection w:val="btLr"/>
                    </w:pPr>
                    <w:r w:rsidRPr="00C71BE0">
                      <w:rPr>
                        <w:sz w:val="20"/>
                      </w:rPr>
                      <w:t>Enero de 2025</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83F1" w14:textId="77777777" w:rsidR="001775FF" w:rsidRDefault="000F6634">
    <w:pPr>
      <w:pBdr>
        <w:top w:val="nil"/>
        <w:left w:val="nil"/>
        <w:bottom w:val="nil"/>
        <w:right w:val="nil"/>
        <w:between w:val="nil"/>
      </w:pBdr>
      <w:tabs>
        <w:tab w:val="center" w:pos="4419"/>
        <w:tab w:val="right" w:pos="8838"/>
      </w:tabs>
      <w:rPr>
        <w:color w:val="000000"/>
      </w:rPr>
    </w:pPr>
    <w:r>
      <w:rPr>
        <w:color w:val="000000"/>
      </w:rPr>
      <w:pict w14:anchorId="011A5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41.8pt;height:623.9pt;z-index:-251657216;mso-wrap-edited:f;mso-width-percent:0;mso-height-percent:0;mso-position-horizontal:center;mso-position-horizontal-relative:margin;mso-position-vertical:center;mso-position-vertical-relative:margin;mso-width-percent:0;mso-height-percent:0">
          <v:imagedata r:id="rId1" o:title="image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800F6"/>
    <w:multiLevelType w:val="multilevel"/>
    <w:tmpl w:val="29748CC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8853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FF"/>
    <w:rsid w:val="000F6634"/>
    <w:rsid w:val="00156539"/>
    <w:rsid w:val="001775FF"/>
    <w:rsid w:val="002A43EC"/>
    <w:rsid w:val="00424C67"/>
    <w:rsid w:val="00C71BE0"/>
    <w:rsid w:val="00DB5D88"/>
    <w:rsid w:val="00EB62E5"/>
    <w:rsid w:val="00F958E3"/>
    <w:rsid w:val="00FF52D5"/>
    <w:rsid w:val="00FF5C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F8515"/>
  <w15:docId w15:val="{850E724A-5369-224A-B89C-73F16ED2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Sinespaciado">
    <w:name w:val="No Spacing"/>
    <w:uiPriority w:val="1"/>
    <w:qFormat/>
    <w:rsid w:val="001250B3"/>
    <w:rPr>
      <w:rFonts w:eastAsiaTheme="minorEastAsia"/>
      <w:sz w:val="21"/>
      <w:szCs w:val="21"/>
      <w:lang w:eastAsia="es-CO"/>
    </w:rPr>
  </w:style>
  <w:style w:type="paragraph" w:customStyle="1" w:styleId="p1">
    <w:name w:val="p1"/>
    <w:basedOn w:val="Normal"/>
    <w:rsid w:val="00F6664C"/>
    <w:pPr>
      <w:spacing w:before="100" w:beforeAutospacing="1" w:after="100" w:afterAutospacing="1"/>
    </w:pPr>
    <w:rPr>
      <w:rFonts w:ascii="Times New Roman" w:eastAsia="Times New Roman" w:hAnsi="Times New Roman" w:cs="Times New Roman"/>
    </w:rPr>
  </w:style>
  <w:style w:type="character" w:customStyle="1" w:styleId="s1">
    <w:name w:val="s1"/>
    <w:basedOn w:val="Fuentedeprrafopredeter"/>
    <w:rsid w:val="00F6664C"/>
  </w:style>
  <w:style w:type="character" w:styleId="Hipervnculovisitado">
    <w:name w:val="FollowedHyperlink"/>
    <w:basedOn w:val="Fuentedeprrafopredeter"/>
    <w:uiPriority w:val="99"/>
    <w:semiHidden/>
    <w:unhideWhenUsed/>
    <w:rsid w:val="00F6664C"/>
    <w:rPr>
      <w:color w:val="96607D" w:themeColor="followedHyperlink"/>
      <w:u w:val="single"/>
    </w:rPr>
  </w:style>
  <w:style w:type="character" w:customStyle="1" w:styleId="apple-converted-space">
    <w:name w:val="apple-converted-space"/>
    <w:basedOn w:val="Fuentedeprrafopredeter"/>
    <w:rsid w:val="005D5841"/>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concuadrcula2-nfasis1">
    <w:name w:val="Grid Table 2 Accent 1"/>
    <w:basedOn w:val="Tablanormal"/>
    <w:uiPriority w:val="47"/>
    <w:rsid w:val="00DB5D88"/>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2-nfasis4">
    <w:name w:val="Grid Table 2 Accent 4"/>
    <w:basedOn w:val="Tablanormal"/>
    <w:uiPriority w:val="47"/>
    <w:rsid w:val="00DB5D88"/>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concuadrcula2-nfasis6">
    <w:name w:val="Grid Table 2 Accent 6"/>
    <w:basedOn w:val="Tablanormal"/>
    <w:uiPriority w:val="47"/>
    <w:rsid w:val="00DB5D88"/>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discimus.com/index.php/01/article/view/11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vistadiscimus.com/index.php/01/article/view/110"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eocDe7ek+JzKVin5/Xs7Q4fQQ==">CgMxLjAyCGguZ2pkZ3hzMgloLjMwajB6bGwyCWguMWZvYjl0ZTIJaC4zem55c2g3OAByITE5eGhtYW9sWTZzaFFOVF9hUTZUdE9aZzNaNzVOMVJrcg==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8252</Words>
  <Characters>45388</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AVENDANO RONDON</dc:creator>
  <cp:lastModifiedBy>LEONARDO  AVENDANO RONDON</cp:lastModifiedBy>
  <cp:revision>3</cp:revision>
  <cp:lastPrinted>2025-01-31T12:27:00Z</cp:lastPrinted>
  <dcterms:created xsi:type="dcterms:W3CDTF">2025-01-31T12:27:00Z</dcterms:created>
  <dcterms:modified xsi:type="dcterms:W3CDTF">2025-01-31T12:28:00Z</dcterms:modified>
</cp:coreProperties>
</file>