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705D4" w14:textId="77777777" w:rsidR="007550EF" w:rsidRDefault="00000000">
      <w:pPr>
        <w:pBdr>
          <w:top w:val="nil"/>
          <w:left w:val="nil"/>
          <w:bottom w:val="nil"/>
          <w:right w:val="nil"/>
          <w:between w:val="nil"/>
        </w:pBdr>
        <w:spacing w:after="0" w:line="240" w:lineRule="auto"/>
        <w:jc w:val="center"/>
        <w:rPr>
          <w:b/>
          <w:color w:val="000000"/>
          <w:sz w:val="24"/>
          <w:szCs w:val="24"/>
        </w:rPr>
      </w:pPr>
      <w:r>
        <w:rPr>
          <w:noProof/>
        </w:rPr>
        <w:drawing>
          <wp:anchor distT="0" distB="0" distL="0" distR="0" simplePos="0" relativeHeight="251658240" behindDoc="1" locked="0" layoutInCell="1" hidden="0" allowOverlap="1" wp14:anchorId="216E6B49" wp14:editId="745FD376">
            <wp:simplePos x="0" y="0"/>
            <wp:positionH relativeFrom="column">
              <wp:posOffset>-812977</wp:posOffset>
            </wp:positionH>
            <wp:positionV relativeFrom="paragraph">
              <wp:posOffset>-2013895</wp:posOffset>
            </wp:positionV>
            <wp:extent cx="7794404" cy="11025451"/>
            <wp:effectExtent l="0" t="0" r="0" b="0"/>
            <wp:wrapNone/>
            <wp:docPr id="2118744669" name="image5.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Patrón de fondo&#10;&#10;Descripción generada automáticamente"/>
                    <pic:cNvPicPr preferRelativeResize="0"/>
                  </pic:nvPicPr>
                  <pic:blipFill>
                    <a:blip r:embed="rId7"/>
                    <a:srcRect/>
                    <a:stretch>
                      <a:fillRect/>
                    </a:stretch>
                  </pic:blipFill>
                  <pic:spPr>
                    <a:xfrm>
                      <a:off x="0" y="0"/>
                      <a:ext cx="7794404" cy="11025451"/>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0EA0C2D4" wp14:editId="485F0287">
                <wp:simplePos x="0" y="0"/>
                <wp:positionH relativeFrom="column">
                  <wp:posOffset>1724025</wp:posOffset>
                </wp:positionH>
                <wp:positionV relativeFrom="paragraph">
                  <wp:posOffset>0</wp:posOffset>
                </wp:positionV>
                <wp:extent cx="3786087" cy="347345"/>
                <wp:effectExtent l="0" t="0" r="0" b="0"/>
                <wp:wrapNone/>
                <wp:docPr id="2118744667" name="Rectángulo 2118744667"/>
                <wp:cNvGraphicFramePr/>
                <a:graphic xmlns:a="http://schemas.openxmlformats.org/drawingml/2006/main">
                  <a:graphicData uri="http://schemas.microsoft.com/office/word/2010/wordprocessingShape">
                    <wps:wsp>
                      <wps:cNvSpPr/>
                      <wps:spPr>
                        <a:xfrm>
                          <a:off x="3457719" y="3611090"/>
                          <a:ext cx="3776562" cy="337820"/>
                        </a:xfrm>
                        <a:prstGeom prst="rect">
                          <a:avLst/>
                        </a:prstGeom>
                        <a:solidFill>
                          <a:schemeClr val="lt1"/>
                        </a:solidFill>
                        <a:ln w="9525" cap="flat" cmpd="sng">
                          <a:solidFill>
                            <a:srgbClr val="000000"/>
                          </a:solidFill>
                          <a:prstDash val="solid"/>
                          <a:round/>
                          <a:headEnd type="none" w="sm" len="sm"/>
                          <a:tailEnd type="none" w="sm" len="sm"/>
                        </a:ln>
                      </wps:spPr>
                      <wps:txbx>
                        <w:txbxContent>
                          <w:p w14:paraId="64B749B7" w14:textId="77777777" w:rsidR="007550EF" w:rsidRDefault="00000000">
                            <w:pPr>
                              <w:spacing w:after="0" w:line="240" w:lineRule="auto"/>
                              <w:textDirection w:val="btLr"/>
                            </w:pPr>
                            <w:r>
                              <w:rPr>
                                <w:rFonts w:ascii="Aptos" w:eastAsia="Aptos" w:hAnsi="Aptos" w:cs="Aptos"/>
                                <w:color w:val="000000"/>
                                <w:sz w:val="20"/>
                              </w:rPr>
                              <w:t>Contenido de acceso abierto bajo la Licencia:  </w:t>
                            </w:r>
                            <w:r>
                              <w:rPr>
                                <w:rFonts w:ascii="Aptos" w:eastAsia="Aptos" w:hAnsi="Aptos" w:cs="Aptos"/>
                                <w:color w:val="467886"/>
                                <w:sz w:val="20"/>
                                <w:u w:val="single"/>
                              </w:rPr>
                              <w:t>CC BY-NC-SA 4.0</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1724025</wp:posOffset>
                </wp:positionH>
                <wp:positionV relativeFrom="paragraph">
                  <wp:posOffset>0</wp:posOffset>
                </wp:positionV>
                <wp:extent cx="3786087" cy="347345"/>
                <wp:effectExtent b="0" l="0" r="0" t="0"/>
                <wp:wrapNone/>
                <wp:docPr id="2118744667"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3786087" cy="347345"/>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7FF0C1C4" wp14:editId="52467C68">
            <wp:simplePos x="0" y="0"/>
            <wp:positionH relativeFrom="column">
              <wp:posOffset>485775</wp:posOffset>
            </wp:positionH>
            <wp:positionV relativeFrom="paragraph">
              <wp:posOffset>0</wp:posOffset>
            </wp:positionV>
            <wp:extent cx="1239287" cy="487447"/>
            <wp:effectExtent l="0" t="0" r="0" b="0"/>
            <wp:wrapNone/>
            <wp:docPr id="21187446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239287" cy="487447"/>
                    </a:xfrm>
                    <a:prstGeom prst="rect">
                      <a:avLst/>
                    </a:prstGeom>
                    <a:ln/>
                  </pic:spPr>
                </pic:pic>
              </a:graphicData>
            </a:graphic>
          </wp:anchor>
        </w:drawing>
      </w:r>
    </w:p>
    <w:p w14:paraId="0D97946C" w14:textId="77777777" w:rsidR="007550EF" w:rsidRDefault="007550EF">
      <w:pPr>
        <w:pBdr>
          <w:top w:val="nil"/>
          <w:left w:val="nil"/>
          <w:bottom w:val="nil"/>
          <w:right w:val="nil"/>
          <w:between w:val="nil"/>
        </w:pBdr>
        <w:spacing w:after="0" w:line="240" w:lineRule="auto"/>
        <w:jc w:val="center"/>
        <w:rPr>
          <w:b/>
          <w:color w:val="000000"/>
          <w:sz w:val="24"/>
          <w:szCs w:val="24"/>
        </w:rPr>
      </w:pPr>
    </w:p>
    <w:p w14:paraId="0B25B71F" w14:textId="77777777" w:rsidR="007550EF" w:rsidRDefault="007550EF">
      <w:pPr>
        <w:pBdr>
          <w:top w:val="nil"/>
          <w:left w:val="nil"/>
          <w:bottom w:val="nil"/>
          <w:right w:val="nil"/>
          <w:between w:val="nil"/>
        </w:pBdr>
        <w:spacing w:after="0" w:line="240" w:lineRule="auto"/>
        <w:jc w:val="center"/>
        <w:rPr>
          <w:b/>
          <w:color w:val="000000"/>
          <w:sz w:val="24"/>
          <w:szCs w:val="24"/>
        </w:rPr>
      </w:pPr>
    </w:p>
    <w:p w14:paraId="40EEE978" w14:textId="77777777" w:rsidR="007550EF" w:rsidRDefault="007550EF">
      <w:pPr>
        <w:pBdr>
          <w:top w:val="nil"/>
          <w:left w:val="nil"/>
          <w:bottom w:val="nil"/>
          <w:right w:val="nil"/>
          <w:between w:val="nil"/>
        </w:pBdr>
        <w:spacing w:after="0" w:line="240" w:lineRule="auto"/>
        <w:jc w:val="center"/>
        <w:rPr>
          <w:b/>
          <w:color w:val="000000"/>
          <w:sz w:val="24"/>
          <w:szCs w:val="24"/>
        </w:rPr>
      </w:pPr>
    </w:p>
    <w:p w14:paraId="287F65D4" w14:textId="77777777" w:rsidR="007550EF" w:rsidRDefault="007550EF">
      <w:pPr>
        <w:pBdr>
          <w:top w:val="nil"/>
          <w:left w:val="nil"/>
          <w:bottom w:val="nil"/>
          <w:right w:val="nil"/>
          <w:between w:val="nil"/>
        </w:pBdr>
        <w:spacing w:after="0" w:line="240" w:lineRule="auto"/>
        <w:jc w:val="center"/>
        <w:rPr>
          <w:b/>
          <w:color w:val="000000"/>
          <w:sz w:val="24"/>
          <w:szCs w:val="24"/>
        </w:rPr>
      </w:pPr>
    </w:p>
    <w:p w14:paraId="3A724990" w14:textId="77777777" w:rsidR="007550EF" w:rsidRDefault="007550EF">
      <w:pPr>
        <w:pBdr>
          <w:top w:val="nil"/>
          <w:left w:val="nil"/>
          <w:bottom w:val="nil"/>
          <w:right w:val="nil"/>
          <w:between w:val="nil"/>
        </w:pBdr>
        <w:spacing w:after="0" w:line="240" w:lineRule="auto"/>
        <w:jc w:val="center"/>
        <w:rPr>
          <w:b/>
          <w:color w:val="000000"/>
          <w:sz w:val="28"/>
          <w:szCs w:val="28"/>
        </w:rPr>
      </w:pPr>
    </w:p>
    <w:p w14:paraId="4D7CE118" w14:textId="77777777" w:rsidR="007550EF" w:rsidRDefault="007550EF">
      <w:pPr>
        <w:pBdr>
          <w:top w:val="nil"/>
          <w:left w:val="nil"/>
          <w:bottom w:val="nil"/>
          <w:right w:val="nil"/>
          <w:between w:val="nil"/>
        </w:pBdr>
        <w:spacing w:after="0" w:line="240" w:lineRule="auto"/>
        <w:jc w:val="center"/>
        <w:rPr>
          <w:b/>
          <w:color w:val="000000"/>
          <w:sz w:val="28"/>
          <w:szCs w:val="28"/>
        </w:rPr>
      </w:pPr>
    </w:p>
    <w:p w14:paraId="4AD43002" w14:textId="77777777" w:rsidR="007550EF" w:rsidRDefault="00000000">
      <w:pPr>
        <w:pBdr>
          <w:top w:val="nil"/>
          <w:left w:val="nil"/>
          <w:bottom w:val="nil"/>
          <w:right w:val="nil"/>
          <w:between w:val="nil"/>
        </w:pBdr>
        <w:spacing w:after="0" w:line="240" w:lineRule="auto"/>
        <w:jc w:val="center"/>
        <w:rPr>
          <w:b/>
          <w:color w:val="000000"/>
          <w:sz w:val="28"/>
          <w:szCs w:val="28"/>
        </w:rPr>
      </w:pPr>
      <w:bookmarkStart w:id="0" w:name="_heading=h.1fob9te" w:colFirst="0" w:colLast="0"/>
      <w:bookmarkEnd w:id="0"/>
      <w:r>
        <w:rPr>
          <w:b/>
          <w:color w:val="000000"/>
          <w:sz w:val="28"/>
          <w:szCs w:val="28"/>
        </w:rPr>
        <w:t>GOBIERNO ESCOLAR Y PARTICIPACIÓN POLÍTICA: RASTREO DOCUMENTAL A PARTIR DE LA NOCIÓN DE GÉNERO</w:t>
      </w:r>
    </w:p>
    <w:p w14:paraId="494291D8" w14:textId="77777777" w:rsidR="007550EF" w:rsidRDefault="007550EF">
      <w:pPr>
        <w:pBdr>
          <w:top w:val="nil"/>
          <w:left w:val="nil"/>
          <w:bottom w:val="nil"/>
          <w:right w:val="nil"/>
          <w:between w:val="nil"/>
        </w:pBdr>
        <w:spacing w:after="0" w:line="240" w:lineRule="auto"/>
        <w:jc w:val="center"/>
        <w:rPr>
          <w:b/>
          <w:i/>
          <w:sz w:val="23"/>
          <w:szCs w:val="23"/>
        </w:rPr>
      </w:pPr>
    </w:p>
    <w:p w14:paraId="19E1F27F" w14:textId="77777777" w:rsidR="007550EF" w:rsidRPr="00FD76E3" w:rsidRDefault="00000000">
      <w:pPr>
        <w:pBdr>
          <w:top w:val="nil"/>
          <w:left w:val="nil"/>
          <w:bottom w:val="nil"/>
          <w:right w:val="nil"/>
          <w:between w:val="nil"/>
        </w:pBdr>
        <w:spacing w:after="0" w:line="240" w:lineRule="auto"/>
        <w:jc w:val="center"/>
        <w:rPr>
          <w:b/>
          <w:i/>
          <w:sz w:val="23"/>
          <w:szCs w:val="23"/>
          <w:lang w:val="en-US"/>
        </w:rPr>
      </w:pPr>
      <w:r w:rsidRPr="00FD76E3">
        <w:rPr>
          <w:b/>
          <w:i/>
          <w:sz w:val="23"/>
          <w:szCs w:val="23"/>
          <w:lang w:val="en-US"/>
        </w:rPr>
        <w:t>SCHOOL GOVERNMENT AND POLITICAL PARTICIPATION: DOCUMENTARY TRACKING BASED ON THE NOTION OF GENDER.</w:t>
      </w:r>
    </w:p>
    <w:p w14:paraId="0C20C29D" w14:textId="77777777" w:rsidR="007550EF" w:rsidRPr="00FD76E3" w:rsidRDefault="007550EF">
      <w:pPr>
        <w:pBdr>
          <w:top w:val="nil"/>
          <w:left w:val="nil"/>
          <w:bottom w:val="nil"/>
          <w:right w:val="nil"/>
          <w:between w:val="nil"/>
        </w:pBdr>
        <w:spacing w:after="0" w:line="240" w:lineRule="auto"/>
        <w:jc w:val="right"/>
        <w:rPr>
          <w:color w:val="000000"/>
          <w:sz w:val="26"/>
          <w:szCs w:val="26"/>
          <w:lang w:val="en-US"/>
        </w:rPr>
      </w:pPr>
    </w:p>
    <w:p w14:paraId="5FD6B7A8" w14:textId="77777777" w:rsidR="007550EF" w:rsidRDefault="00000000">
      <w:pPr>
        <w:pBdr>
          <w:top w:val="nil"/>
          <w:left w:val="nil"/>
          <w:bottom w:val="nil"/>
          <w:right w:val="nil"/>
          <w:between w:val="nil"/>
        </w:pBdr>
        <w:spacing w:after="0" w:line="240" w:lineRule="auto"/>
        <w:jc w:val="right"/>
        <w:rPr>
          <w:color w:val="000000"/>
          <w:sz w:val="26"/>
          <w:szCs w:val="26"/>
        </w:rPr>
      </w:pPr>
      <w:bookmarkStart w:id="1" w:name="_heading=h.3znysh7" w:colFirst="0" w:colLast="0"/>
      <w:bookmarkEnd w:id="1"/>
      <w:r>
        <w:rPr>
          <w:color w:val="000000"/>
          <w:sz w:val="26"/>
          <w:szCs w:val="26"/>
        </w:rPr>
        <w:t xml:space="preserve">Ana Isabel Suárez Martínez </w:t>
      </w:r>
    </w:p>
    <w:p w14:paraId="4B5091D4" w14:textId="77777777" w:rsidR="007550EF"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Maestranda en Educación Inclusiva e Intercultural</w:t>
      </w:r>
    </w:p>
    <w:p w14:paraId="6CF75E22" w14:textId="77777777" w:rsidR="007550EF" w:rsidRDefault="00000000">
      <w:pPr>
        <w:pBdr>
          <w:top w:val="nil"/>
          <w:left w:val="nil"/>
          <w:bottom w:val="nil"/>
          <w:right w:val="nil"/>
          <w:between w:val="nil"/>
        </w:pBdr>
        <w:spacing w:after="0" w:line="240" w:lineRule="auto"/>
        <w:jc w:val="right"/>
        <w:rPr>
          <w:i/>
          <w:color w:val="000000"/>
          <w:sz w:val="24"/>
          <w:szCs w:val="24"/>
        </w:rPr>
      </w:pPr>
      <w:r>
        <w:rPr>
          <w:color w:val="000000"/>
          <w:sz w:val="26"/>
          <w:szCs w:val="26"/>
        </w:rPr>
        <w:t xml:space="preserve"> Universidad El Bosque</w:t>
      </w:r>
    </w:p>
    <w:p w14:paraId="68E342AC" w14:textId="77777777" w:rsidR="007550EF" w:rsidRDefault="007550EF">
      <w:pPr>
        <w:pBdr>
          <w:top w:val="nil"/>
          <w:left w:val="nil"/>
          <w:bottom w:val="nil"/>
          <w:right w:val="nil"/>
          <w:between w:val="nil"/>
        </w:pBdr>
        <w:spacing w:after="0" w:line="240" w:lineRule="auto"/>
        <w:rPr>
          <w:b/>
          <w:color w:val="000000"/>
        </w:rPr>
      </w:pPr>
    </w:p>
    <w:p w14:paraId="4C7FE50A" w14:textId="77777777" w:rsidR="00FD76E3" w:rsidRDefault="00FD76E3">
      <w:pPr>
        <w:pBdr>
          <w:top w:val="nil"/>
          <w:left w:val="nil"/>
          <w:bottom w:val="nil"/>
          <w:right w:val="nil"/>
          <w:between w:val="nil"/>
        </w:pBdr>
        <w:spacing w:after="0" w:line="240" w:lineRule="auto"/>
        <w:rPr>
          <w:b/>
          <w:color w:val="000000"/>
        </w:rPr>
      </w:pPr>
    </w:p>
    <w:p w14:paraId="6A8538EB" w14:textId="77777777" w:rsidR="00FD76E3" w:rsidRDefault="00FD76E3">
      <w:pPr>
        <w:pBdr>
          <w:top w:val="nil"/>
          <w:left w:val="nil"/>
          <w:bottom w:val="nil"/>
          <w:right w:val="nil"/>
          <w:between w:val="nil"/>
        </w:pBdr>
        <w:spacing w:after="0" w:line="240" w:lineRule="auto"/>
        <w:rPr>
          <w:b/>
          <w:color w:val="000000"/>
        </w:rPr>
      </w:pPr>
    </w:p>
    <w:p w14:paraId="7181B824" w14:textId="61829B1B" w:rsidR="007550EF" w:rsidRDefault="00000000">
      <w:pPr>
        <w:pBdr>
          <w:top w:val="nil"/>
          <w:left w:val="nil"/>
          <w:bottom w:val="nil"/>
          <w:right w:val="nil"/>
          <w:between w:val="nil"/>
        </w:pBdr>
        <w:spacing w:after="0" w:line="240" w:lineRule="auto"/>
        <w:rPr>
          <w:b/>
          <w:color w:val="000000"/>
        </w:rPr>
      </w:pPr>
      <w:r>
        <w:rPr>
          <w:b/>
          <w:color w:val="000000"/>
        </w:rPr>
        <w:t>Fecha de Recepción:</w:t>
      </w:r>
    </w:p>
    <w:p w14:paraId="1882405B" w14:textId="77777777" w:rsidR="007550EF" w:rsidRDefault="00000000">
      <w:pPr>
        <w:pBdr>
          <w:top w:val="nil"/>
          <w:left w:val="nil"/>
          <w:bottom w:val="nil"/>
          <w:right w:val="nil"/>
          <w:between w:val="nil"/>
        </w:pBdr>
        <w:spacing w:after="0" w:line="240" w:lineRule="auto"/>
        <w:rPr>
          <w:color w:val="000000"/>
        </w:rPr>
      </w:pPr>
      <w:r>
        <w:rPr>
          <w:color w:val="000000"/>
        </w:rPr>
        <w:t>30 de octubre de 2023</w:t>
      </w:r>
    </w:p>
    <w:p w14:paraId="57EB9F86" w14:textId="77777777" w:rsidR="007550EF" w:rsidRDefault="00000000">
      <w:pPr>
        <w:pBdr>
          <w:top w:val="nil"/>
          <w:left w:val="nil"/>
          <w:bottom w:val="nil"/>
          <w:right w:val="nil"/>
          <w:between w:val="nil"/>
        </w:pBdr>
        <w:spacing w:after="0" w:line="240" w:lineRule="auto"/>
        <w:rPr>
          <w:b/>
          <w:color w:val="000000"/>
        </w:rPr>
      </w:pPr>
      <w:r>
        <w:rPr>
          <w:b/>
          <w:color w:val="000000"/>
        </w:rPr>
        <w:t xml:space="preserve">Fecha de Aprobación: </w:t>
      </w:r>
    </w:p>
    <w:p w14:paraId="0553C7ED" w14:textId="77777777" w:rsidR="007550EF" w:rsidRDefault="00000000">
      <w:pPr>
        <w:pBdr>
          <w:top w:val="nil"/>
          <w:left w:val="nil"/>
          <w:bottom w:val="nil"/>
          <w:right w:val="nil"/>
          <w:between w:val="nil"/>
        </w:pBdr>
        <w:spacing w:after="0" w:line="240" w:lineRule="auto"/>
        <w:rPr>
          <w:color w:val="000000"/>
        </w:rPr>
      </w:pPr>
      <w:r>
        <w:rPr>
          <w:color w:val="000000"/>
        </w:rPr>
        <w:t>27 de diciembre de 2023</w:t>
      </w:r>
    </w:p>
    <w:p w14:paraId="61406AC0" w14:textId="77777777" w:rsidR="00FD76E3" w:rsidRDefault="00FD76E3">
      <w:pPr>
        <w:pBdr>
          <w:top w:val="nil"/>
          <w:left w:val="nil"/>
          <w:bottom w:val="nil"/>
          <w:right w:val="nil"/>
          <w:between w:val="nil"/>
        </w:pBdr>
        <w:spacing w:after="0" w:line="240" w:lineRule="auto"/>
        <w:rPr>
          <w:color w:val="000000"/>
        </w:rPr>
      </w:pPr>
    </w:p>
    <w:p w14:paraId="7A298651" w14:textId="1122B6FA" w:rsidR="007550EF" w:rsidRDefault="00FD76E3">
      <w:pPr>
        <w:tabs>
          <w:tab w:val="left" w:pos="810"/>
        </w:tabs>
        <w:rPr>
          <w:b/>
          <w:sz w:val="24"/>
          <w:szCs w:val="24"/>
        </w:rPr>
      </w:pPr>
      <w:r>
        <w:rPr>
          <w:noProof/>
        </w:rPr>
        <mc:AlternateContent>
          <mc:Choice Requires="wps">
            <w:drawing>
              <wp:anchor distT="0" distB="0" distL="114300" distR="114300" simplePos="0" relativeHeight="251662336" behindDoc="0" locked="0" layoutInCell="1" allowOverlap="1" wp14:anchorId="4E0E5F61" wp14:editId="78836497">
                <wp:simplePos x="0" y="0"/>
                <wp:positionH relativeFrom="column">
                  <wp:posOffset>4061460</wp:posOffset>
                </wp:positionH>
                <wp:positionV relativeFrom="paragraph">
                  <wp:posOffset>306705</wp:posOffset>
                </wp:positionV>
                <wp:extent cx="2424430" cy="999490"/>
                <wp:effectExtent l="0" t="0" r="1270" b="3810"/>
                <wp:wrapNone/>
                <wp:docPr id="70795048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4430" cy="999490"/>
                        </a:xfrm>
                        <a:prstGeom prst="rect">
                          <a:avLst/>
                        </a:prstGeom>
                        <a:solidFill>
                          <a:sysClr val="window" lastClr="FFFFFF"/>
                        </a:solidFill>
                        <a:ln w="9525" cap="flat" cmpd="sng">
                          <a:solidFill>
                            <a:srgbClr val="000000"/>
                          </a:solidFill>
                          <a:prstDash val="solid"/>
                          <a:round/>
                          <a:headEnd type="none" w="sm" len="sm"/>
                          <a:tailEnd type="none" w="sm" len="sm"/>
                        </a:ln>
                      </wps:spPr>
                      <wps:txbx>
                        <w:txbxContent>
                          <w:p w14:paraId="4EB16D4E" w14:textId="77777777" w:rsidR="00FD76E3" w:rsidRPr="009D7C26" w:rsidRDefault="00FD76E3" w:rsidP="00FD76E3">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07BB3AA2" w14:textId="77777777" w:rsidR="00FD76E3" w:rsidRPr="009D7C26" w:rsidRDefault="00FD76E3" w:rsidP="00FD76E3">
                            <w:pPr>
                              <w:spacing w:after="0" w:line="240" w:lineRule="auto"/>
                              <w:textDirection w:val="btLr"/>
                            </w:pPr>
                            <w:r w:rsidRPr="009D7C26">
                              <w:rPr>
                                <w:color w:val="000000"/>
                              </w:rPr>
                              <w:t>ISSN 2954-5781</w:t>
                            </w:r>
                          </w:p>
                          <w:p w14:paraId="34C4FE8B" w14:textId="77777777" w:rsidR="00FD76E3" w:rsidRPr="009D7C26" w:rsidRDefault="00FD76E3" w:rsidP="00FD76E3">
                            <w:pPr>
                              <w:spacing w:after="0" w:line="240" w:lineRule="auto"/>
                              <w:textDirection w:val="btLr"/>
                            </w:pPr>
                            <w:r w:rsidRPr="009D7C26">
                              <w:rPr>
                                <w:color w:val="467886"/>
                                <w:u w:val="single"/>
                              </w:rPr>
                              <w:t>Contacto@revistadiscimus.com</w:t>
                            </w:r>
                          </w:p>
                          <w:p w14:paraId="0465DBFD" w14:textId="77777777" w:rsidR="00FD76E3" w:rsidRPr="009D7C26" w:rsidRDefault="00FD76E3" w:rsidP="00FD76E3">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52B522F2" w14:textId="77777777" w:rsidR="00FD76E3" w:rsidRDefault="00FD76E3" w:rsidP="00FD76E3">
                            <w:pPr>
                              <w:spacing w:after="0" w:line="240" w:lineRule="auto"/>
                              <w:textDirection w:val="btLr"/>
                            </w:pPr>
                            <w:r w:rsidRPr="009D7C26">
                              <w:rPr>
                                <w:color w:val="000000"/>
                              </w:rPr>
                              <w:t>Bogotá- Colombia</w:t>
                            </w:r>
                            <w:r>
                              <w:rPr>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E0E5F61" id="Rectángulo 2" o:spid="_x0000_s1027" style="position:absolute;margin-left:319.8pt;margin-top:24.15pt;width:190.9pt;height:7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" fillcolor="window">
                <v:stroke startarrowwidth="narrow" startarrowlength="short" endarrowwidth="narrow" endarrowlength="short" joinstyle="round"/>
                <v:path arrowok="t"/>
                <v:textbox inset="2.53958mm,1.2694mm,2.53958mm,1.2694mm">
                  <w:txbxContent>
                    <w:p w14:paraId="4EB16D4E" w14:textId="77777777" w:rsidR="00FD76E3" w:rsidRPr="009D7C26" w:rsidRDefault="00FD76E3" w:rsidP="00FD76E3">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07BB3AA2" w14:textId="77777777" w:rsidR="00FD76E3" w:rsidRPr="009D7C26" w:rsidRDefault="00FD76E3" w:rsidP="00FD76E3">
                      <w:pPr>
                        <w:spacing w:after="0" w:line="240" w:lineRule="auto"/>
                        <w:textDirection w:val="btLr"/>
                      </w:pPr>
                      <w:r w:rsidRPr="009D7C26">
                        <w:rPr>
                          <w:color w:val="000000"/>
                        </w:rPr>
                        <w:t>ISSN 2954-5781</w:t>
                      </w:r>
                    </w:p>
                    <w:p w14:paraId="34C4FE8B" w14:textId="77777777" w:rsidR="00FD76E3" w:rsidRPr="009D7C26" w:rsidRDefault="00FD76E3" w:rsidP="00FD76E3">
                      <w:pPr>
                        <w:spacing w:after="0" w:line="240" w:lineRule="auto"/>
                        <w:textDirection w:val="btLr"/>
                      </w:pPr>
                      <w:r w:rsidRPr="009D7C26">
                        <w:rPr>
                          <w:color w:val="467886"/>
                          <w:u w:val="single"/>
                        </w:rPr>
                        <w:t>Contacto@revistadiscimus.com</w:t>
                      </w:r>
                    </w:p>
                    <w:p w14:paraId="0465DBFD" w14:textId="77777777" w:rsidR="00FD76E3" w:rsidRPr="009D7C26" w:rsidRDefault="00FD76E3" w:rsidP="00FD76E3">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52B522F2" w14:textId="77777777" w:rsidR="00FD76E3" w:rsidRDefault="00FD76E3" w:rsidP="00FD76E3">
                      <w:pPr>
                        <w:spacing w:after="0" w:line="240" w:lineRule="auto"/>
                        <w:textDirection w:val="btLr"/>
                      </w:pPr>
                      <w:r w:rsidRPr="009D7C26">
                        <w:rPr>
                          <w:color w:val="000000"/>
                        </w:rPr>
                        <w:t>Bogotá- Colombia</w:t>
                      </w:r>
                      <w:r>
                        <w:rPr>
                          <w:color w:val="000000"/>
                        </w:rPr>
                        <w:t xml:space="preserve"> </w:t>
                      </w:r>
                    </w:p>
                  </w:txbxContent>
                </v:textbox>
              </v:rect>
            </w:pict>
          </mc:Fallback>
        </mc:AlternateContent>
      </w:r>
    </w:p>
    <w:p w14:paraId="63D104FA" w14:textId="77777777" w:rsidR="00FD76E3" w:rsidRDefault="00FD76E3">
      <w:pPr>
        <w:tabs>
          <w:tab w:val="left" w:pos="810"/>
        </w:tabs>
        <w:rPr>
          <w:b/>
          <w:sz w:val="24"/>
          <w:szCs w:val="24"/>
        </w:rPr>
      </w:pPr>
    </w:p>
    <w:p w14:paraId="2612CC9C" w14:textId="13E56E9C" w:rsidR="007550EF" w:rsidRDefault="00000000">
      <w:pPr>
        <w:tabs>
          <w:tab w:val="left" w:pos="810"/>
        </w:tabs>
        <w:rPr>
          <w:sz w:val="24"/>
          <w:szCs w:val="24"/>
        </w:rPr>
      </w:pPr>
      <w:r>
        <w:rPr>
          <w:b/>
          <w:sz w:val="24"/>
          <w:szCs w:val="24"/>
        </w:rPr>
        <w:t xml:space="preserve">ISSN: </w:t>
      </w:r>
      <w:r>
        <w:rPr>
          <w:sz w:val="24"/>
          <w:szCs w:val="24"/>
        </w:rPr>
        <w:t>2954-5781 (En línea)</w:t>
      </w:r>
    </w:p>
    <w:p w14:paraId="278905D4" w14:textId="7EBC1947" w:rsidR="00FD76E3" w:rsidRDefault="00FD76E3">
      <w:pPr>
        <w:tabs>
          <w:tab w:val="left" w:pos="810"/>
        </w:tabs>
        <w:rPr>
          <w:sz w:val="24"/>
          <w:szCs w:val="24"/>
        </w:rPr>
      </w:pPr>
    </w:p>
    <w:p w14:paraId="3A4047D3" w14:textId="079CC736" w:rsidR="007550EF" w:rsidRDefault="00000000">
      <w:pPr>
        <w:tabs>
          <w:tab w:val="left" w:pos="3534"/>
        </w:tabs>
        <w:rPr>
          <w:b/>
          <w:sz w:val="24"/>
          <w:szCs w:val="24"/>
        </w:rPr>
      </w:pPr>
      <w:bookmarkStart w:id="2" w:name="_heading=h.gjdgxs" w:colFirst="0" w:colLast="0"/>
      <w:bookmarkEnd w:id="2"/>
      <w:r>
        <w:rPr>
          <w:b/>
          <w:sz w:val="24"/>
          <w:szCs w:val="24"/>
        </w:rPr>
        <w:t xml:space="preserve">DOI: </w:t>
      </w:r>
      <w:r w:rsidR="00F07D34" w:rsidRPr="00F07D34">
        <w:rPr>
          <w:color w:val="000000"/>
        </w:rPr>
        <w:t>.</w:t>
      </w:r>
      <w:r w:rsidR="00F07D34">
        <w:rPr>
          <w:color w:val="000000"/>
        </w:rPr>
        <w:t xml:space="preserve"> </w:t>
      </w:r>
      <w:r w:rsidR="00F07D34" w:rsidRPr="00F07D34">
        <w:rPr>
          <w:color w:val="000000"/>
        </w:rPr>
        <w:t> </w:t>
      </w:r>
      <w:r w:rsidR="00F07D34" w:rsidRPr="00F07D34">
        <w:rPr>
          <w:color w:val="000000"/>
        </w:rPr>
        <w:fldChar w:fldCharType="begin"/>
      </w:r>
      <w:r w:rsidR="00F07D34" w:rsidRPr="00F07D34">
        <w:rPr>
          <w:color w:val="000000"/>
        </w:rPr>
        <w:instrText>HYPERLINK "https://doi.org/10.61447/20231211/art4"</w:instrText>
      </w:r>
      <w:r w:rsidR="00F07D34" w:rsidRPr="00F07D34">
        <w:rPr>
          <w:color w:val="000000"/>
        </w:rPr>
      </w:r>
      <w:r w:rsidR="00F07D34" w:rsidRPr="00F07D34">
        <w:rPr>
          <w:color w:val="000000"/>
        </w:rPr>
        <w:fldChar w:fldCharType="separate"/>
      </w:r>
      <w:r w:rsidR="00F07D34" w:rsidRPr="00F07D34">
        <w:rPr>
          <w:rStyle w:val="Hipervnculo"/>
        </w:rPr>
        <w:t>https://doi.org/10.61447/20231211/art4</w:t>
      </w:r>
      <w:r w:rsidR="00F07D34" w:rsidRPr="00F07D34">
        <w:rPr>
          <w:color w:val="000000"/>
        </w:rPr>
        <w:fldChar w:fldCharType="end"/>
      </w:r>
    </w:p>
    <w:p w14:paraId="20D30842" w14:textId="77777777" w:rsidR="00FD76E3" w:rsidRDefault="00FD76E3">
      <w:pPr>
        <w:tabs>
          <w:tab w:val="left" w:pos="3534"/>
        </w:tabs>
        <w:rPr>
          <w:b/>
          <w:sz w:val="24"/>
          <w:szCs w:val="24"/>
        </w:rPr>
      </w:pPr>
    </w:p>
    <w:p w14:paraId="3C896873" w14:textId="77777777" w:rsidR="00F07D34" w:rsidRDefault="00F07D34">
      <w:pPr>
        <w:tabs>
          <w:tab w:val="left" w:pos="3534"/>
        </w:tabs>
        <w:rPr>
          <w:b/>
          <w:sz w:val="24"/>
          <w:szCs w:val="24"/>
        </w:rPr>
      </w:pPr>
    </w:p>
    <w:p w14:paraId="4F104A9C" w14:textId="77777777" w:rsidR="007550EF" w:rsidRDefault="00000000">
      <w:pPr>
        <w:tabs>
          <w:tab w:val="left" w:pos="810"/>
        </w:tabs>
        <w:rPr>
          <w:b/>
          <w:sz w:val="24"/>
          <w:szCs w:val="24"/>
        </w:rPr>
      </w:pPr>
      <w:r>
        <w:rPr>
          <w:b/>
          <w:sz w:val="24"/>
          <w:szCs w:val="24"/>
        </w:rPr>
        <w:t>Citar artículo como:</w:t>
      </w:r>
    </w:p>
    <w:p w14:paraId="3F0B1E29" w14:textId="5BE61845" w:rsidR="007550EF" w:rsidRDefault="00F07D34" w:rsidP="00F07D34">
      <w:pPr>
        <w:pBdr>
          <w:top w:val="nil"/>
          <w:left w:val="nil"/>
          <w:bottom w:val="nil"/>
          <w:right w:val="nil"/>
          <w:between w:val="nil"/>
        </w:pBdr>
        <w:spacing w:after="0" w:line="240" w:lineRule="auto"/>
        <w:rPr>
          <w:color w:val="000000"/>
        </w:rPr>
        <w:sectPr w:rsidR="007550EF">
          <w:headerReference w:type="default" r:id="rId10"/>
          <w:footerReference w:type="default" r:id="rId11"/>
          <w:pgSz w:w="12240" w:h="15840"/>
          <w:pgMar w:top="1701" w:right="1701" w:bottom="1701" w:left="1701" w:header="709" w:footer="709" w:gutter="0"/>
          <w:pgNumType w:start="65"/>
          <w:cols w:space="720"/>
        </w:sectPr>
      </w:pPr>
      <w:r w:rsidRPr="00F07D34">
        <w:rPr>
          <w:color w:val="000000"/>
        </w:rPr>
        <w:t>Suárez Martínez , A. I. . (2024). Gobierno Escolar y participación política: rastreo documental a partir de la noción de Género. </w:t>
      </w:r>
      <w:proofErr w:type="spellStart"/>
      <w:r w:rsidRPr="00F07D34">
        <w:rPr>
          <w:i/>
          <w:iCs/>
          <w:color w:val="000000"/>
        </w:rPr>
        <w:t>Discimus</w:t>
      </w:r>
      <w:proofErr w:type="spellEnd"/>
      <w:r w:rsidRPr="00F07D34">
        <w:rPr>
          <w:i/>
          <w:iCs/>
          <w:color w:val="000000"/>
        </w:rPr>
        <w:t>. Revista Digital De Educación</w:t>
      </w:r>
      <w:r w:rsidRPr="00F07D34">
        <w:rPr>
          <w:color w:val="000000"/>
        </w:rPr>
        <w:t>, </w:t>
      </w:r>
      <w:r w:rsidRPr="00F07D34">
        <w:rPr>
          <w:i/>
          <w:iCs/>
          <w:color w:val="000000"/>
        </w:rPr>
        <w:t>2</w:t>
      </w:r>
      <w:r w:rsidRPr="00F07D34">
        <w:rPr>
          <w:color w:val="000000"/>
        </w:rPr>
        <w:t>(2), 65-87.</w:t>
      </w:r>
      <w:r>
        <w:rPr>
          <w:color w:val="000000"/>
        </w:rPr>
        <w:t xml:space="preserve"> </w:t>
      </w:r>
      <w:r w:rsidRPr="00F07D34">
        <w:rPr>
          <w:color w:val="000000"/>
        </w:rPr>
        <w:t> </w:t>
      </w:r>
      <w:r w:rsidRPr="00F07D34">
        <w:rPr>
          <w:color w:val="000000"/>
        </w:rPr>
        <w:fldChar w:fldCharType="begin"/>
      </w:r>
      <w:r w:rsidRPr="00F07D34">
        <w:rPr>
          <w:color w:val="000000"/>
        </w:rPr>
        <w:instrText>HYPERLINK "https://doi.org/10.61447/20231211/art4"</w:instrText>
      </w:r>
      <w:r w:rsidRPr="00F07D34">
        <w:rPr>
          <w:color w:val="000000"/>
        </w:rPr>
      </w:r>
      <w:r w:rsidRPr="00F07D34">
        <w:rPr>
          <w:color w:val="000000"/>
        </w:rPr>
        <w:fldChar w:fldCharType="separate"/>
      </w:r>
      <w:r w:rsidRPr="00F07D34">
        <w:rPr>
          <w:rStyle w:val="Hipervnculo"/>
        </w:rPr>
        <w:t>https://doi.org/10.61447/20231211/art4</w:t>
      </w:r>
      <w:r w:rsidRPr="00F07D34">
        <w:rPr>
          <w:color w:val="000000"/>
        </w:rPr>
        <w:fldChar w:fldCharType="end"/>
      </w:r>
    </w:p>
    <w:p w14:paraId="2890DC6B" w14:textId="77777777" w:rsidR="007550EF" w:rsidRDefault="00000000">
      <w:pPr>
        <w:spacing w:line="360" w:lineRule="auto"/>
        <w:rPr>
          <w:b/>
          <w:sz w:val="24"/>
          <w:szCs w:val="24"/>
        </w:rPr>
      </w:pPr>
      <w:r>
        <w:rPr>
          <w:b/>
          <w:sz w:val="24"/>
          <w:szCs w:val="24"/>
        </w:rPr>
        <w:lastRenderedPageBreak/>
        <w:t>Resumen</w:t>
      </w:r>
    </w:p>
    <w:p w14:paraId="5864C053" w14:textId="77777777" w:rsidR="007550EF" w:rsidRDefault="00000000">
      <w:pPr>
        <w:spacing w:line="360" w:lineRule="auto"/>
        <w:jc w:val="both"/>
        <w:rPr>
          <w:sz w:val="24"/>
          <w:szCs w:val="24"/>
        </w:rPr>
      </w:pPr>
      <w:r>
        <w:rPr>
          <w:sz w:val="24"/>
          <w:szCs w:val="24"/>
        </w:rPr>
        <w:t xml:space="preserve">El presente artículo es resultado de una revisión documental en torno al panorama de la participación de las niñas en el Gobierno Escolar, bajo la perspectiva de Género. Esta se realizó a partir de una categorización de las principales tendencias que reflejan la realidad investigativa, teorías, conceptualizaciones y metodologías, de distintos documentos, que versan sobre la participación de las niñas y jóvenes en los gobiernos escolares. Las investigaciones consultadas provienen de contextos y geografías diversas que, en distintas tipologías textuales, presentan información ligada a la intencionalidad que persigue este trabajo, a saber: fomentar discusiones y reflexiones pertinentes al Género y su importancia desde escenarios de participación política en contextos escolares, a través de la práctica de las y los estudiantes. La revisión se realizó a partir de las categorías: Género en el Gobierno Escolar, Participación Política en la escuela y Liderazgos Femeninos. Se encontraron puntos comunes de análisis </w:t>
      </w:r>
      <w:r>
        <w:rPr>
          <w:sz w:val="24"/>
          <w:szCs w:val="24"/>
        </w:rPr>
        <w:t>en los documentos, en un lapso temporal de 23 años por lo que se afirma que, aunque la información es escaza, hay apuestas investigativas y analíticas comunes en entidades públicas como privadas. En conclusión, es importante realizar investigaciones que reflexionen, de manera amplia, sobre los marcos de desigualdad de Género en la escuela y propiamente en los procesos de participación estudiantil en la escuela.</w:t>
      </w:r>
    </w:p>
    <w:p w14:paraId="2C33069F" w14:textId="77777777" w:rsidR="007550EF" w:rsidRDefault="00000000">
      <w:pPr>
        <w:spacing w:line="360" w:lineRule="auto"/>
        <w:rPr>
          <w:b/>
          <w:sz w:val="24"/>
          <w:szCs w:val="24"/>
        </w:rPr>
      </w:pPr>
      <w:r>
        <w:rPr>
          <w:b/>
          <w:sz w:val="24"/>
          <w:szCs w:val="24"/>
        </w:rPr>
        <w:t>Palabras Clave:</w:t>
      </w:r>
    </w:p>
    <w:p w14:paraId="3C91CCC4" w14:textId="77777777" w:rsidR="007550EF" w:rsidRDefault="00000000">
      <w:pPr>
        <w:spacing w:line="360" w:lineRule="auto"/>
        <w:rPr>
          <w:sz w:val="24"/>
          <w:szCs w:val="24"/>
        </w:rPr>
      </w:pPr>
      <w:r>
        <w:rPr>
          <w:sz w:val="24"/>
          <w:szCs w:val="24"/>
        </w:rPr>
        <w:t>Género, Participación escolar, Gobierno Estudiantil, Liderazgo femenino, Democracia escolar.</w:t>
      </w:r>
    </w:p>
    <w:p w14:paraId="40694E39" w14:textId="77777777" w:rsidR="007550EF" w:rsidRDefault="007550EF">
      <w:pPr>
        <w:spacing w:line="360" w:lineRule="auto"/>
        <w:rPr>
          <w:b/>
          <w:sz w:val="24"/>
          <w:szCs w:val="24"/>
        </w:rPr>
      </w:pPr>
    </w:p>
    <w:p w14:paraId="22EAC470" w14:textId="77777777" w:rsidR="007550EF" w:rsidRDefault="00000000">
      <w:pPr>
        <w:rPr>
          <w:b/>
          <w:sz w:val="24"/>
          <w:szCs w:val="24"/>
        </w:rPr>
      </w:pPr>
      <w:r>
        <w:br w:type="page"/>
      </w:r>
    </w:p>
    <w:p w14:paraId="237ECD76" w14:textId="77777777" w:rsidR="007550EF" w:rsidRPr="00FD76E3" w:rsidRDefault="00000000">
      <w:pPr>
        <w:spacing w:line="276" w:lineRule="auto"/>
        <w:jc w:val="both"/>
        <w:rPr>
          <w:b/>
          <w:sz w:val="24"/>
          <w:szCs w:val="24"/>
          <w:lang w:val="en-US"/>
        </w:rPr>
      </w:pPr>
      <w:r w:rsidRPr="00FD76E3">
        <w:rPr>
          <w:b/>
          <w:sz w:val="24"/>
          <w:szCs w:val="24"/>
          <w:lang w:val="en-US"/>
        </w:rPr>
        <w:lastRenderedPageBreak/>
        <w:t>Abstract</w:t>
      </w:r>
    </w:p>
    <w:p w14:paraId="529CFA5D" w14:textId="77777777" w:rsidR="007550EF" w:rsidRPr="00FD76E3" w:rsidRDefault="00000000">
      <w:pPr>
        <w:spacing w:line="360" w:lineRule="auto"/>
        <w:jc w:val="both"/>
        <w:rPr>
          <w:sz w:val="24"/>
          <w:szCs w:val="24"/>
          <w:lang w:val="en-US"/>
        </w:rPr>
      </w:pPr>
      <w:r w:rsidRPr="00FD76E3">
        <w:rPr>
          <w:sz w:val="24"/>
          <w:szCs w:val="24"/>
          <w:lang w:val="en-US"/>
        </w:rPr>
        <w:t xml:space="preserve">This article is the result of a documentary review around the panorama of children's participation in the School Government, from a gender perspective. This was carried out based on a categorization of the main trends that reflect the investigative reality, theories, conceptualizations, and methodologies, of different documents, which deal with the participation of children and young people in school governments. The investigations consulted come from diverse contexts and geographies that, in different textual types, present information linked to the intention that pursues this work, namely: to encourage discussions and reflections pertinent to Gender and its importance from scenarios of political participation in school contexts, to through the practice of students and students. The review was carried out based on the following categories: Gender in the School Government, Political Participation in the School and Female Leadership. Common points of analysis were found in </w:t>
      </w:r>
      <w:r w:rsidRPr="00FD76E3">
        <w:rPr>
          <w:sz w:val="24"/>
          <w:szCs w:val="24"/>
          <w:lang w:val="en-US"/>
        </w:rPr>
        <w:t>documents, within a period of 23 years, which is why it is stated that, even though information is scarce, there are common investigative and analytical resources in public and private entities. In conclusion, it is important to carry out investigations that reflect, in a broader way, on the milestones of gender inequality in the school and specifically in the processes of student participation in the school.</w:t>
      </w:r>
    </w:p>
    <w:p w14:paraId="6B3D9B19" w14:textId="77777777" w:rsidR="007550EF" w:rsidRPr="00FD76E3" w:rsidRDefault="00000000">
      <w:pPr>
        <w:spacing w:line="276" w:lineRule="auto"/>
        <w:rPr>
          <w:b/>
          <w:sz w:val="24"/>
          <w:szCs w:val="24"/>
          <w:lang w:val="en-US"/>
        </w:rPr>
      </w:pPr>
      <w:r w:rsidRPr="00FD76E3">
        <w:rPr>
          <w:b/>
          <w:sz w:val="24"/>
          <w:szCs w:val="24"/>
          <w:lang w:val="en-US"/>
        </w:rPr>
        <w:t>Keywords:</w:t>
      </w:r>
    </w:p>
    <w:p w14:paraId="3573FBB4" w14:textId="77777777" w:rsidR="007550EF" w:rsidRPr="00FD76E3" w:rsidRDefault="00000000">
      <w:pPr>
        <w:spacing w:line="276" w:lineRule="auto"/>
        <w:rPr>
          <w:sz w:val="24"/>
          <w:szCs w:val="24"/>
          <w:lang w:val="en-US"/>
        </w:rPr>
      </w:pPr>
      <w:r w:rsidRPr="00FD76E3">
        <w:rPr>
          <w:sz w:val="24"/>
          <w:szCs w:val="24"/>
          <w:lang w:val="en-US"/>
        </w:rPr>
        <w:t>Gender, Participation in the school, School Government, Female Leadership, School democracy.</w:t>
      </w:r>
    </w:p>
    <w:p w14:paraId="3D8BF857" w14:textId="77777777" w:rsidR="007550EF" w:rsidRPr="00FD76E3" w:rsidRDefault="007550EF">
      <w:pPr>
        <w:spacing w:line="276" w:lineRule="auto"/>
        <w:rPr>
          <w:sz w:val="24"/>
          <w:szCs w:val="24"/>
          <w:lang w:val="en-US"/>
        </w:rPr>
      </w:pPr>
    </w:p>
    <w:p w14:paraId="3DC2F42D" w14:textId="77777777" w:rsidR="007550EF" w:rsidRPr="00FD76E3" w:rsidRDefault="007550EF">
      <w:pPr>
        <w:spacing w:line="276" w:lineRule="auto"/>
        <w:rPr>
          <w:sz w:val="24"/>
          <w:szCs w:val="24"/>
          <w:lang w:val="en-US"/>
        </w:rPr>
      </w:pPr>
    </w:p>
    <w:p w14:paraId="7B1E42A1" w14:textId="77777777" w:rsidR="007550EF" w:rsidRPr="00FD76E3" w:rsidRDefault="007550EF">
      <w:pPr>
        <w:spacing w:line="276" w:lineRule="auto"/>
        <w:rPr>
          <w:sz w:val="24"/>
          <w:szCs w:val="24"/>
          <w:lang w:val="en-US"/>
        </w:rPr>
      </w:pPr>
    </w:p>
    <w:p w14:paraId="52EF03FD" w14:textId="77777777" w:rsidR="007550EF" w:rsidRPr="00FD76E3" w:rsidRDefault="007550EF">
      <w:pPr>
        <w:spacing w:line="276" w:lineRule="auto"/>
        <w:rPr>
          <w:sz w:val="24"/>
          <w:szCs w:val="24"/>
          <w:lang w:val="en-US"/>
        </w:rPr>
      </w:pPr>
    </w:p>
    <w:p w14:paraId="3678D129" w14:textId="77777777" w:rsidR="007550EF" w:rsidRPr="00FD76E3" w:rsidRDefault="007550EF">
      <w:pPr>
        <w:spacing w:line="276" w:lineRule="auto"/>
        <w:rPr>
          <w:sz w:val="24"/>
          <w:szCs w:val="24"/>
          <w:lang w:val="en-US"/>
        </w:rPr>
      </w:pPr>
    </w:p>
    <w:p w14:paraId="53FCD9FA" w14:textId="77777777" w:rsidR="007550EF" w:rsidRPr="00FD76E3" w:rsidRDefault="007550EF">
      <w:pPr>
        <w:spacing w:line="276" w:lineRule="auto"/>
        <w:rPr>
          <w:sz w:val="24"/>
          <w:szCs w:val="24"/>
          <w:lang w:val="en-US"/>
        </w:rPr>
      </w:pPr>
    </w:p>
    <w:p w14:paraId="26431B9F" w14:textId="77777777" w:rsidR="007550EF" w:rsidRPr="00FD76E3" w:rsidRDefault="007550EF">
      <w:pPr>
        <w:spacing w:line="276" w:lineRule="auto"/>
        <w:rPr>
          <w:sz w:val="24"/>
          <w:szCs w:val="24"/>
          <w:lang w:val="en-US"/>
        </w:rPr>
      </w:pPr>
    </w:p>
    <w:p w14:paraId="77876765" w14:textId="77777777" w:rsidR="007550EF" w:rsidRPr="00FD76E3" w:rsidRDefault="007550EF">
      <w:pPr>
        <w:spacing w:line="276" w:lineRule="auto"/>
        <w:rPr>
          <w:sz w:val="24"/>
          <w:szCs w:val="24"/>
          <w:lang w:val="en-US"/>
        </w:rPr>
      </w:pPr>
    </w:p>
    <w:p w14:paraId="20967638" w14:textId="77777777" w:rsidR="007550EF" w:rsidRPr="00FD76E3" w:rsidRDefault="007550EF">
      <w:pPr>
        <w:spacing w:line="276" w:lineRule="auto"/>
        <w:rPr>
          <w:sz w:val="24"/>
          <w:szCs w:val="24"/>
          <w:lang w:val="en-US"/>
        </w:rPr>
      </w:pPr>
    </w:p>
    <w:p w14:paraId="474204CE" w14:textId="77777777" w:rsidR="007550EF" w:rsidRPr="00FD76E3" w:rsidRDefault="007550EF">
      <w:pPr>
        <w:spacing w:line="276" w:lineRule="auto"/>
        <w:rPr>
          <w:sz w:val="24"/>
          <w:szCs w:val="24"/>
          <w:lang w:val="en-US"/>
        </w:rPr>
      </w:pPr>
    </w:p>
    <w:p w14:paraId="4ABF3118" w14:textId="77777777" w:rsidR="007550EF" w:rsidRPr="00FD76E3" w:rsidRDefault="007550EF">
      <w:pPr>
        <w:spacing w:line="276" w:lineRule="auto"/>
        <w:rPr>
          <w:sz w:val="24"/>
          <w:szCs w:val="24"/>
          <w:lang w:val="en-US"/>
        </w:rPr>
      </w:pPr>
    </w:p>
    <w:p w14:paraId="23CB52E4" w14:textId="77777777" w:rsidR="007550EF" w:rsidRPr="00FD76E3" w:rsidRDefault="007550EF">
      <w:pPr>
        <w:spacing w:line="276" w:lineRule="auto"/>
        <w:rPr>
          <w:sz w:val="24"/>
          <w:szCs w:val="24"/>
          <w:lang w:val="en-US"/>
        </w:rPr>
        <w:sectPr w:rsidR="007550EF" w:rsidRPr="00FD76E3">
          <w:headerReference w:type="default" r:id="rId12"/>
          <w:footerReference w:type="default" r:id="rId13"/>
          <w:pgSz w:w="12240" w:h="15840"/>
          <w:pgMar w:top="1701" w:right="1701" w:bottom="1701" w:left="1701" w:header="709" w:footer="709" w:gutter="0"/>
          <w:cols w:num="2" w:space="720" w:equalWidth="0">
            <w:col w:w="4065" w:space="708"/>
            <w:col w:w="4065" w:space="0"/>
          </w:cols>
        </w:sectPr>
      </w:pPr>
    </w:p>
    <w:p w14:paraId="4A37C141" w14:textId="77777777" w:rsidR="007550EF" w:rsidRPr="00FD76E3" w:rsidRDefault="007550EF">
      <w:pPr>
        <w:spacing w:line="480" w:lineRule="auto"/>
        <w:rPr>
          <w:b/>
          <w:sz w:val="24"/>
          <w:szCs w:val="24"/>
          <w:lang w:val="en-US"/>
        </w:rPr>
        <w:sectPr w:rsidR="007550EF" w:rsidRPr="00FD76E3">
          <w:type w:val="continuous"/>
          <w:pgSz w:w="12240" w:h="15840"/>
          <w:pgMar w:top="1701" w:right="1701" w:bottom="1701" w:left="1701" w:header="709" w:footer="709" w:gutter="0"/>
          <w:cols w:space="720"/>
        </w:sectPr>
      </w:pPr>
    </w:p>
    <w:p w14:paraId="57FDBEF1" w14:textId="77777777" w:rsidR="007550EF" w:rsidRPr="00FD76E3" w:rsidRDefault="007550EF">
      <w:pPr>
        <w:pBdr>
          <w:top w:val="nil"/>
          <w:left w:val="nil"/>
          <w:bottom w:val="nil"/>
          <w:right w:val="nil"/>
          <w:between w:val="nil"/>
        </w:pBdr>
        <w:spacing w:after="0" w:line="360" w:lineRule="auto"/>
        <w:ind w:hanging="2"/>
        <w:jc w:val="center"/>
        <w:rPr>
          <w:b/>
          <w:color w:val="000000"/>
          <w:sz w:val="24"/>
          <w:szCs w:val="24"/>
          <w:lang w:val="en-US"/>
        </w:rPr>
      </w:pPr>
    </w:p>
    <w:p w14:paraId="3C9305B5" w14:textId="77777777" w:rsidR="007550EF" w:rsidRDefault="00000000">
      <w:pPr>
        <w:pBdr>
          <w:top w:val="nil"/>
          <w:left w:val="nil"/>
          <w:bottom w:val="nil"/>
          <w:right w:val="nil"/>
          <w:between w:val="nil"/>
        </w:pBdr>
        <w:spacing w:after="280" w:line="360" w:lineRule="auto"/>
        <w:jc w:val="both"/>
        <w:rPr>
          <w:b/>
          <w:color w:val="000000"/>
          <w:sz w:val="24"/>
          <w:szCs w:val="24"/>
        </w:rPr>
      </w:pPr>
      <w:r w:rsidRPr="00FD76E3">
        <w:rPr>
          <w:b/>
          <w:color w:val="000000"/>
          <w:sz w:val="24"/>
          <w:szCs w:val="24"/>
          <w:lang w:val="en-US"/>
        </w:rPr>
        <w:t> </w:t>
      </w:r>
      <w:r>
        <w:rPr>
          <w:b/>
          <w:color w:val="000000"/>
          <w:sz w:val="24"/>
          <w:szCs w:val="24"/>
        </w:rPr>
        <w:t>Introducción</w:t>
      </w:r>
    </w:p>
    <w:p w14:paraId="6F4EC8A4" w14:textId="77777777" w:rsidR="007550EF" w:rsidRDefault="00000000">
      <w:pPr>
        <w:pBdr>
          <w:top w:val="nil"/>
          <w:left w:val="nil"/>
          <w:bottom w:val="nil"/>
          <w:right w:val="nil"/>
          <w:between w:val="nil"/>
        </w:pBdr>
        <w:spacing w:after="280" w:line="360" w:lineRule="auto"/>
        <w:jc w:val="both"/>
        <w:rPr>
          <w:color w:val="000000"/>
          <w:sz w:val="24"/>
          <w:szCs w:val="24"/>
        </w:rPr>
      </w:pPr>
      <w:bookmarkStart w:id="3" w:name="_heading=h.30j0zll" w:colFirst="0" w:colLast="0"/>
      <w:bookmarkEnd w:id="3"/>
      <w:r>
        <w:rPr>
          <w:sz w:val="24"/>
          <w:szCs w:val="24"/>
        </w:rPr>
        <w:t xml:space="preserve">            La participación activa de las niñas y jóvenes en los Gobiernos Escolares es un tema de creciente importancia en la agenda educativa contemporánea. A medida que la sociedad evoluciona hacia una mayor igualdad de género y participación ciudadana, la inclusión de las voces y perspectivas de las estudiantes en la toma de decisiones dentro de las instituciones educativas se convierte en un elemento esencial. Este artículo de investigación documental se sumerge en el estado del arte de este tema, explorando las investigaciones y prácticas existentes que abordan la participación de las niñas y jóvenes en los gobiernos escolares. En un contexto donde la educación se considera un factor clave para el empoderamiento y el desarrollo de habilidades de liderazgo, es fundamental comprender cómo se fomenta y se efectúa la participación de este grupo demográfico en el ámbito escolar. A través de un análisis exhaustivo de la literatura actual, este artículo busca arrojar luz sobre los desafíos, logros y tendencias que rodea; por ende, p</w:t>
      </w:r>
      <w:r>
        <w:rPr>
          <w:color w:val="000000"/>
          <w:sz w:val="24"/>
          <w:szCs w:val="24"/>
        </w:rPr>
        <w:t xml:space="preserve">ara desarrollar esto es importante, inicialmente, definir y tener claridad sobre qué significa y </w:t>
      </w:r>
      <w:r>
        <w:rPr>
          <w:sz w:val="24"/>
          <w:szCs w:val="24"/>
        </w:rPr>
        <w:t>cómo</w:t>
      </w:r>
      <w:r>
        <w:rPr>
          <w:color w:val="000000"/>
          <w:sz w:val="24"/>
          <w:szCs w:val="24"/>
        </w:rPr>
        <w:t xml:space="preserve"> está conformado el Gobierno Escolar para luego, entender el lugar que tienen las niñas y las jóvenes en este. </w:t>
      </w:r>
    </w:p>
    <w:p w14:paraId="3C743E41" w14:textId="77777777" w:rsidR="007550EF" w:rsidRDefault="00000000">
      <w:pPr>
        <w:pBdr>
          <w:top w:val="nil"/>
          <w:left w:val="nil"/>
          <w:bottom w:val="nil"/>
          <w:right w:val="nil"/>
          <w:between w:val="nil"/>
        </w:pBdr>
        <w:spacing w:after="280" w:line="360" w:lineRule="auto"/>
        <w:jc w:val="both"/>
        <w:rPr>
          <w:color w:val="000000"/>
          <w:sz w:val="24"/>
          <w:szCs w:val="24"/>
        </w:rPr>
      </w:pPr>
      <w:bookmarkStart w:id="4" w:name="_heading=h.2et92p0" w:colFirst="0" w:colLast="0"/>
      <w:bookmarkEnd w:id="4"/>
      <w:r>
        <w:rPr>
          <w:color w:val="000000"/>
          <w:sz w:val="24"/>
          <w:szCs w:val="24"/>
        </w:rPr>
        <w:t xml:space="preserve">Desde esta perspectiva, el Gobierno Escolar es el escenario que permite formar y vincular a los y las estudiantes a procesos de ciudadanía, de política, de liderazgo escolar, con la ayuda de diferentes organismos institucionales, con el propósito de tomar decisiones que afecten a las instituciones y mejorar la convivencia escolar.  Al ser este un espacio democrático de importancia se establece, a su vez,  como el escenario de liderazgo y participación estudiantil por excelencia que permite y favorece el desarrollo de procesos de socialización fomentando la ciudadanía y la democracia en la escuela; Es por esto que, es importante, tener claridad sobre su construcción pues este según el MEN (2019) “está conformado por diversas instancias desde los consejos estudiantiles, personería, contraloría, comités ambientales, hasta las asociaciones de padres de familia, las asambleas de docentes y de egresados” (p. 29). </w:t>
      </w:r>
    </w:p>
    <w:p w14:paraId="5285150F" w14:textId="77777777" w:rsidR="007550EF" w:rsidRDefault="00000000">
      <w:pPr>
        <w:pBdr>
          <w:top w:val="nil"/>
          <w:left w:val="nil"/>
          <w:bottom w:val="nil"/>
          <w:right w:val="nil"/>
          <w:between w:val="nil"/>
        </w:pBdr>
        <w:spacing w:after="280" w:line="360" w:lineRule="auto"/>
        <w:jc w:val="both"/>
        <w:rPr>
          <w:color w:val="000000"/>
          <w:sz w:val="24"/>
          <w:szCs w:val="24"/>
        </w:rPr>
      </w:pPr>
      <w:r>
        <w:rPr>
          <w:sz w:val="24"/>
          <w:szCs w:val="24"/>
        </w:rPr>
        <w:t xml:space="preserve">En este sentido, la presente revisión documental pretende ser un aporte que, desde el análisis y reflexión del Gobierno Escolar, presente una categorización de las principales tendencias </w:t>
      </w:r>
      <w:r>
        <w:rPr>
          <w:sz w:val="24"/>
          <w:szCs w:val="24"/>
        </w:rPr>
        <w:lastRenderedPageBreak/>
        <w:t>investigativas en este campo que pueda abordar la realidad investigativa, teorías, conceptualizaciones y metodologías en diversas investigaciones y antecedentes previos con el fin de realizar un balance documental en esta área en particular, a partir de distintas categorías,</w:t>
      </w:r>
      <w:r>
        <w:rPr>
          <w:color w:val="000000"/>
          <w:sz w:val="24"/>
          <w:szCs w:val="24"/>
        </w:rPr>
        <w:t xml:space="preserve"> dadas durante los últimos 23 años que permitirá entender cómo se ha abordado la temática a estudiar además de la gestión e implementación de los marcos normativos que sustentan la conformación del Gobierno Escolar en las Instituciones educativas del país, ubicando como punto de partida la Ley General de Educación de 1994: artículo 142 y el decreto 1860 del mismo año. </w:t>
      </w:r>
    </w:p>
    <w:p w14:paraId="5685CB4C" w14:textId="77777777" w:rsidR="007550EF" w:rsidRDefault="00000000">
      <w:pPr>
        <w:pBdr>
          <w:top w:val="nil"/>
          <w:left w:val="nil"/>
          <w:bottom w:val="nil"/>
          <w:right w:val="nil"/>
          <w:between w:val="nil"/>
        </w:pBdr>
        <w:spacing w:after="280" w:line="360" w:lineRule="auto"/>
        <w:jc w:val="both"/>
        <w:rPr>
          <w:b/>
          <w:color w:val="000000"/>
          <w:sz w:val="24"/>
          <w:szCs w:val="24"/>
        </w:rPr>
      </w:pPr>
      <w:bookmarkStart w:id="5" w:name="_heading=h.tyjcwt" w:colFirst="0" w:colLast="0"/>
      <w:bookmarkEnd w:id="5"/>
      <w:r>
        <w:rPr>
          <w:color w:val="000000"/>
          <w:sz w:val="24"/>
          <w:szCs w:val="24"/>
        </w:rPr>
        <w:t xml:space="preserve">Por ende, se ha abordado el tema a partir de las inquietudes por la conformación del Gobierno escolar, el liderazgo, la subjetividad y la participación política; dichas miradas comprenden y reflexionan estos espacios de participación atendiendo a las dinámicas, demandas y subjetividades propias, que se van dando en el ejercicio de investigación y que conforman, en este ejercicio de revisión, una, siendo la primera </w:t>
      </w:r>
      <w:r>
        <w:rPr>
          <w:sz w:val="24"/>
          <w:szCs w:val="24"/>
        </w:rPr>
        <w:t>categoría de análisis</w:t>
      </w:r>
      <w:r>
        <w:rPr>
          <w:color w:val="000000"/>
          <w:sz w:val="24"/>
          <w:szCs w:val="24"/>
        </w:rPr>
        <w:t xml:space="preserve"> el </w:t>
      </w:r>
      <w:r>
        <w:rPr>
          <w:sz w:val="24"/>
          <w:szCs w:val="24"/>
        </w:rPr>
        <w:t>G</w:t>
      </w:r>
      <w:r>
        <w:rPr>
          <w:color w:val="000000"/>
          <w:sz w:val="24"/>
          <w:szCs w:val="24"/>
        </w:rPr>
        <w:t xml:space="preserve">énero en el </w:t>
      </w:r>
      <w:r>
        <w:rPr>
          <w:sz w:val="24"/>
          <w:szCs w:val="24"/>
        </w:rPr>
        <w:t>G</w:t>
      </w:r>
      <w:r>
        <w:rPr>
          <w:color w:val="000000"/>
          <w:sz w:val="24"/>
          <w:szCs w:val="24"/>
        </w:rPr>
        <w:t xml:space="preserve">obierno </w:t>
      </w:r>
      <w:r>
        <w:rPr>
          <w:sz w:val="24"/>
          <w:szCs w:val="24"/>
        </w:rPr>
        <w:t>E</w:t>
      </w:r>
      <w:r>
        <w:rPr>
          <w:color w:val="000000"/>
          <w:sz w:val="24"/>
          <w:szCs w:val="24"/>
        </w:rPr>
        <w:t xml:space="preserve">scolar, segunda </w:t>
      </w:r>
      <w:r>
        <w:rPr>
          <w:sz w:val="24"/>
          <w:szCs w:val="24"/>
        </w:rPr>
        <w:t>Participación</w:t>
      </w:r>
      <w:r>
        <w:rPr>
          <w:color w:val="000000"/>
          <w:sz w:val="24"/>
          <w:szCs w:val="24"/>
        </w:rPr>
        <w:t xml:space="preserve"> </w:t>
      </w:r>
      <w:r>
        <w:rPr>
          <w:sz w:val="24"/>
          <w:szCs w:val="24"/>
        </w:rPr>
        <w:t>política estudiantil</w:t>
      </w:r>
      <w:r>
        <w:rPr>
          <w:color w:val="000000"/>
          <w:sz w:val="24"/>
          <w:szCs w:val="24"/>
        </w:rPr>
        <w:t xml:space="preserve"> y liderazgos femeninos como tercera categoría de análisis. </w:t>
      </w:r>
    </w:p>
    <w:p w14:paraId="65D4FD32" w14:textId="77777777" w:rsidR="007550EF" w:rsidRDefault="00000000">
      <w:pPr>
        <w:pBdr>
          <w:top w:val="nil"/>
          <w:left w:val="nil"/>
          <w:bottom w:val="nil"/>
          <w:right w:val="nil"/>
          <w:between w:val="nil"/>
        </w:pBdr>
        <w:spacing w:before="280" w:after="280" w:line="360" w:lineRule="auto"/>
        <w:rPr>
          <w:b/>
          <w:color w:val="000000"/>
          <w:sz w:val="24"/>
          <w:szCs w:val="24"/>
        </w:rPr>
      </w:pPr>
      <w:r>
        <w:rPr>
          <w:b/>
          <w:color w:val="000000"/>
          <w:sz w:val="24"/>
          <w:szCs w:val="24"/>
        </w:rPr>
        <w:t>Investigaciones que reconocen el lugar de las niñas y las jóvenes en la participación en el Gobierno Escolar: El Género como categoría de análisis.</w:t>
      </w:r>
    </w:p>
    <w:p w14:paraId="37025828" w14:textId="77777777" w:rsidR="007550EF" w:rsidRDefault="00000000">
      <w:pPr>
        <w:pBdr>
          <w:top w:val="nil"/>
          <w:left w:val="nil"/>
          <w:bottom w:val="nil"/>
          <w:right w:val="nil"/>
          <w:between w:val="nil"/>
        </w:pBdr>
        <w:spacing w:before="280" w:after="280" w:line="360" w:lineRule="auto"/>
        <w:ind w:firstLine="708"/>
        <w:jc w:val="both"/>
        <w:rPr>
          <w:color w:val="000000"/>
          <w:sz w:val="24"/>
          <w:szCs w:val="24"/>
        </w:rPr>
      </w:pPr>
      <w:r>
        <w:rPr>
          <w:color w:val="000000"/>
          <w:sz w:val="24"/>
          <w:szCs w:val="24"/>
        </w:rPr>
        <w:t>El Género se ha convertido en un tema de indudable abordaje en diferentes espacios como la comunicación, las artes, la política y la educación. En este último ámbito toma una relevancia mayor pues, en ella, se desarrollan procesos de enseñanza aprendizaje de las y los sujetos. Así, se entiende este enfoque como “una perspectiva analítica y una preocupación política respecto de una desigualdad sociocultural por y entre lo masculino y lo femenino “(</w:t>
      </w:r>
      <w:proofErr w:type="spellStart"/>
      <w:r>
        <w:rPr>
          <w:color w:val="000000"/>
          <w:sz w:val="24"/>
          <w:szCs w:val="24"/>
        </w:rPr>
        <w:t>Belucci</w:t>
      </w:r>
      <w:proofErr w:type="spellEnd"/>
      <w:r>
        <w:rPr>
          <w:color w:val="000000"/>
          <w:sz w:val="24"/>
          <w:szCs w:val="24"/>
        </w:rPr>
        <w:t xml:space="preserve">, 1993; Lamas, 2006. </w:t>
      </w:r>
      <w:r>
        <w:rPr>
          <w:sz w:val="24"/>
          <w:szCs w:val="24"/>
        </w:rPr>
        <w:t>p</w:t>
      </w:r>
      <w:r>
        <w:rPr>
          <w:color w:val="000000"/>
          <w:sz w:val="24"/>
          <w:szCs w:val="24"/>
        </w:rPr>
        <w:t xml:space="preserve">. </w:t>
      </w:r>
      <w:r>
        <w:rPr>
          <w:sz w:val="24"/>
          <w:szCs w:val="24"/>
        </w:rPr>
        <w:t>7</w:t>
      </w:r>
      <w:r>
        <w:rPr>
          <w:color w:val="000000"/>
          <w:sz w:val="24"/>
          <w:szCs w:val="24"/>
        </w:rPr>
        <w:t xml:space="preserve">). Desde esta perspectiva, esta </w:t>
      </w:r>
      <w:r>
        <w:rPr>
          <w:sz w:val="24"/>
          <w:szCs w:val="24"/>
        </w:rPr>
        <w:t>categoría</w:t>
      </w:r>
      <w:r>
        <w:rPr>
          <w:color w:val="000000"/>
          <w:sz w:val="24"/>
          <w:szCs w:val="24"/>
        </w:rPr>
        <w:t xml:space="preserve"> se toma con el fin de evidenciar el lugar de las niñas en el Gobierno Escolar desde un enfoque de Género. </w:t>
      </w:r>
    </w:p>
    <w:p w14:paraId="6FFCCD12" w14:textId="77777777" w:rsidR="007550EF" w:rsidRDefault="00000000">
      <w:pPr>
        <w:pBdr>
          <w:top w:val="nil"/>
          <w:left w:val="nil"/>
          <w:bottom w:val="nil"/>
          <w:right w:val="nil"/>
          <w:between w:val="nil"/>
        </w:pBdr>
        <w:spacing w:before="280" w:after="280" w:line="360" w:lineRule="auto"/>
        <w:jc w:val="both"/>
        <w:rPr>
          <w:color w:val="000000"/>
          <w:sz w:val="24"/>
          <w:szCs w:val="24"/>
        </w:rPr>
      </w:pPr>
      <w:r>
        <w:rPr>
          <w:color w:val="000000"/>
          <w:sz w:val="24"/>
          <w:szCs w:val="24"/>
        </w:rPr>
        <w:t xml:space="preserve">Durante la última década, la investigación y la publicación en el ámbito del </w:t>
      </w:r>
      <w:r>
        <w:rPr>
          <w:sz w:val="24"/>
          <w:szCs w:val="24"/>
        </w:rPr>
        <w:t>género</w:t>
      </w:r>
      <w:r>
        <w:rPr>
          <w:color w:val="000000"/>
          <w:sz w:val="24"/>
          <w:szCs w:val="24"/>
        </w:rPr>
        <w:t xml:space="preserve"> en el Gobierno Escolar ha aumentado paulatinamente. Se encuentran investigaciones que enfatizan en el lugar de las niñas y las jóvenes en el Gobierno Escolar, donde se reconoce la importancia de pensar un escenario de participación escolar incluyente para las niñas y las jóvenes. </w:t>
      </w:r>
    </w:p>
    <w:p w14:paraId="505423E0" w14:textId="77777777" w:rsidR="007550EF" w:rsidRDefault="00000000">
      <w:pPr>
        <w:pBdr>
          <w:top w:val="nil"/>
          <w:left w:val="nil"/>
          <w:bottom w:val="nil"/>
          <w:right w:val="nil"/>
          <w:between w:val="nil"/>
        </w:pBdr>
        <w:spacing w:before="280" w:after="280" w:line="360" w:lineRule="auto"/>
        <w:jc w:val="both"/>
        <w:rPr>
          <w:sz w:val="24"/>
          <w:szCs w:val="24"/>
        </w:rPr>
      </w:pPr>
      <w:r>
        <w:rPr>
          <w:sz w:val="24"/>
          <w:szCs w:val="24"/>
        </w:rPr>
        <w:lastRenderedPageBreak/>
        <w:t xml:space="preserve">Sin embargo, las construcciones sociales de Género tradicionales permean </w:t>
      </w:r>
      <w:r>
        <w:rPr>
          <w:color w:val="000000"/>
          <w:sz w:val="24"/>
          <w:szCs w:val="24"/>
        </w:rPr>
        <w:t>la participación</w:t>
      </w:r>
      <w:r>
        <w:rPr>
          <w:sz w:val="24"/>
          <w:szCs w:val="24"/>
        </w:rPr>
        <w:t xml:space="preserve"> estudiantil </w:t>
      </w:r>
      <w:r>
        <w:rPr>
          <w:color w:val="000000"/>
          <w:sz w:val="24"/>
          <w:szCs w:val="24"/>
        </w:rPr>
        <w:t>dentro del Gobierno Escolar</w:t>
      </w:r>
      <w:r>
        <w:rPr>
          <w:sz w:val="24"/>
          <w:szCs w:val="24"/>
        </w:rPr>
        <w:t xml:space="preserve"> y hacen que en este pese el sistema binario desde </w:t>
      </w:r>
      <w:r>
        <w:rPr>
          <w:color w:val="000000"/>
          <w:sz w:val="24"/>
          <w:szCs w:val="24"/>
        </w:rPr>
        <w:t>prácticas desigualdad donde lo masculino es</w:t>
      </w:r>
      <w:r>
        <w:rPr>
          <w:sz w:val="24"/>
          <w:szCs w:val="24"/>
        </w:rPr>
        <w:t xml:space="preserve"> predominante </w:t>
      </w:r>
    </w:p>
    <w:p w14:paraId="46F11746" w14:textId="77777777" w:rsidR="007550EF" w:rsidRDefault="00000000">
      <w:pPr>
        <w:pBdr>
          <w:top w:val="nil"/>
          <w:left w:val="nil"/>
          <w:bottom w:val="nil"/>
          <w:right w:val="nil"/>
          <w:between w:val="nil"/>
        </w:pBdr>
        <w:spacing w:before="280" w:after="280" w:line="360" w:lineRule="auto"/>
        <w:jc w:val="both"/>
        <w:rPr>
          <w:sz w:val="24"/>
          <w:szCs w:val="24"/>
        </w:rPr>
      </w:pPr>
      <w:r>
        <w:rPr>
          <w:sz w:val="24"/>
          <w:szCs w:val="24"/>
        </w:rPr>
        <w:t>Siguiendo a Muñoz Onofre (2004) En efecto en el escenario escolar permanecen pocos espacios que permiten una participación colectiva y total de todas y todos los estudiantes, pues se refuerza lo que el autor llama Imágenes de Género que fortalecen idealizaciones que interpretan el comportamiento de los hombres y las mujeres, que se naturalizan debido la cultura externa o interna a la escuela, a la socialización y comunicación dada en la escuela, y se reducen con frecuencia a rasgos sexuales. Que en palabras de Scott son “una forma primaria de las relaciones significantes de poder” (como se citó en Mora Cañas, 2017, p.1).</w:t>
      </w:r>
    </w:p>
    <w:p w14:paraId="2A16BC89" w14:textId="77777777" w:rsidR="007550EF" w:rsidRDefault="00000000">
      <w:pPr>
        <w:pBdr>
          <w:top w:val="nil"/>
          <w:left w:val="nil"/>
          <w:bottom w:val="nil"/>
          <w:right w:val="nil"/>
          <w:between w:val="nil"/>
        </w:pBdr>
        <w:spacing w:before="280" w:after="280" w:line="360" w:lineRule="auto"/>
        <w:jc w:val="both"/>
        <w:rPr>
          <w:color w:val="000000"/>
          <w:sz w:val="24"/>
          <w:szCs w:val="24"/>
        </w:rPr>
      </w:pPr>
      <w:r>
        <w:rPr>
          <w:color w:val="000000"/>
          <w:sz w:val="24"/>
          <w:szCs w:val="24"/>
        </w:rPr>
        <w:t xml:space="preserve">Estas afirmaciones se basan </w:t>
      </w:r>
      <w:r>
        <w:rPr>
          <w:sz w:val="24"/>
          <w:szCs w:val="24"/>
        </w:rPr>
        <w:t xml:space="preserve">en percepciones que nacen </w:t>
      </w:r>
      <w:r>
        <w:rPr>
          <w:color w:val="000000"/>
          <w:sz w:val="24"/>
          <w:szCs w:val="24"/>
        </w:rPr>
        <w:t xml:space="preserve">de las acciones que se </w:t>
      </w:r>
      <w:r>
        <w:rPr>
          <w:sz w:val="24"/>
          <w:szCs w:val="24"/>
        </w:rPr>
        <w:t>dan dentro</w:t>
      </w:r>
      <w:r>
        <w:rPr>
          <w:color w:val="000000"/>
          <w:sz w:val="24"/>
          <w:szCs w:val="24"/>
        </w:rPr>
        <w:t xml:space="preserve"> de este escenario de participación, acciones que se caracterizan por el autoritarismo y la carencia de sujetos que promuevan proyectos a largo plazo que permitan cambiar su realidad. </w:t>
      </w:r>
      <w:r>
        <w:rPr>
          <w:sz w:val="24"/>
          <w:szCs w:val="24"/>
        </w:rPr>
        <w:t>Siguiendo a</w:t>
      </w:r>
      <w:r>
        <w:rPr>
          <w:color w:val="000000"/>
          <w:sz w:val="24"/>
          <w:szCs w:val="24"/>
        </w:rPr>
        <w:t xml:space="preserve"> Cruz, (2021) se da entonces una subordinación y desesperanza por parte</w:t>
      </w:r>
      <w:r>
        <w:rPr>
          <w:sz w:val="24"/>
          <w:szCs w:val="24"/>
        </w:rPr>
        <w:t xml:space="preserve"> de las estudiantes pues no encuentran posibilidades para liderar proyectos</w:t>
      </w:r>
    </w:p>
    <w:p w14:paraId="454BA105" w14:textId="77777777" w:rsidR="007550EF" w:rsidRDefault="00000000">
      <w:pPr>
        <w:spacing w:line="360" w:lineRule="auto"/>
        <w:jc w:val="both"/>
        <w:rPr>
          <w:color w:val="000000"/>
          <w:sz w:val="24"/>
          <w:szCs w:val="24"/>
        </w:rPr>
      </w:pPr>
      <w:r>
        <w:rPr>
          <w:color w:val="000000"/>
          <w:sz w:val="24"/>
          <w:szCs w:val="24"/>
        </w:rPr>
        <w:t>Es por esto por lo que en cuanto a la percepción del Género los actores sociales del siguiente estudio coincidieron en que “son criados en una sociedad netamente machista, donde la superioridad del hombre es real y latente, los estudiantes la explican desde los espacios religioso y político y las estudiantes desde una sociedad cerrada, donde el poder está monopolizado en los hombres.” (Delgado, 2016, p. 96). Estas desigualdades permanecen debido a las consideraciones de heteronormatividad y</w:t>
      </w:r>
      <w:r>
        <w:rPr>
          <w:sz w:val="24"/>
          <w:szCs w:val="24"/>
        </w:rPr>
        <w:t xml:space="preserve"> </w:t>
      </w:r>
      <w:r>
        <w:rPr>
          <w:color w:val="000000"/>
          <w:sz w:val="24"/>
          <w:szCs w:val="24"/>
        </w:rPr>
        <w:t>el heterosexismo, desde lo planteado por Balanta Mera &amp; Obispo Salazar, (2022) comportamientos y creencias machistas en América Latina se presentan con fuerza en adolescentes que hacen vulnerables a las mujeres y persones con sexualidad diversa con relación a los hombres.</w:t>
      </w:r>
    </w:p>
    <w:p w14:paraId="016D2113" w14:textId="77777777" w:rsidR="007550EF" w:rsidRDefault="00000000">
      <w:pPr>
        <w:spacing w:line="360" w:lineRule="auto"/>
        <w:jc w:val="both"/>
        <w:rPr>
          <w:color w:val="000000"/>
          <w:sz w:val="24"/>
          <w:szCs w:val="24"/>
        </w:rPr>
      </w:pPr>
      <w:r>
        <w:rPr>
          <w:color w:val="000000"/>
          <w:sz w:val="24"/>
          <w:szCs w:val="24"/>
        </w:rPr>
        <w:t xml:space="preserve">En ese sentido, esta consideración supone una exclusión de la mujer en diversos espacios especialmente en la escuela y en el Gobierno Escolar pues la </w:t>
      </w:r>
      <w:r>
        <w:rPr>
          <w:sz w:val="24"/>
          <w:szCs w:val="24"/>
        </w:rPr>
        <w:t>percepción</w:t>
      </w:r>
      <w:r>
        <w:rPr>
          <w:color w:val="000000"/>
          <w:sz w:val="24"/>
          <w:szCs w:val="24"/>
        </w:rPr>
        <w:t xml:space="preserve"> de la mujer, como sujeto político, está </w:t>
      </w:r>
      <w:r>
        <w:rPr>
          <w:sz w:val="24"/>
          <w:szCs w:val="24"/>
        </w:rPr>
        <w:t>subordinada</w:t>
      </w:r>
      <w:r>
        <w:rPr>
          <w:color w:val="000000"/>
          <w:sz w:val="24"/>
          <w:szCs w:val="24"/>
        </w:rPr>
        <w:t xml:space="preserve"> frente al sujeto masculino líder, en ocasiones por confianza a su praxis </w:t>
      </w:r>
      <w:r>
        <w:rPr>
          <w:color w:val="000000"/>
          <w:sz w:val="24"/>
          <w:szCs w:val="24"/>
        </w:rPr>
        <w:lastRenderedPageBreak/>
        <w:t xml:space="preserve">política. O el considerar que hay algunos que cumplen con ciertas características. En esa medida siguiendo lo planteado por </w:t>
      </w:r>
      <w:proofErr w:type="spellStart"/>
      <w:r>
        <w:rPr>
          <w:color w:val="000000"/>
          <w:sz w:val="24"/>
          <w:szCs w:val="24"/>
        </w:rPr>
        <w:t>Vommaro</w:t>
      </w:r>
      <w:proofErr w:type="spellEnd"/>
      <w:r>
        <w:rPr>
          <w:color w:val="000000"/>
          <w:sz w:val="24"/>
          <w:szCs w:val="24"/>
        </w:rPr>
        <w:t xml:space="preserve">, </w:t>
      </w:r>
      <w:proofErr w:type="spellStart"/>
      <w:r>
        <w:rPr>
          <w:color w:val="000000"/>
          <w:sz w:val="24"/>
          <w:szCs w:val="24"/>
        </w:rPr>
        <w:t>Cozachcow</w:t>
      </w:r>
      <w:proofErr w:type="spellEnd"/>
      <w:r>
        <w:rPr>
          <w:color w:val="000000"/>
          <w:sz w:val="24"/>
          <w:szCs w:val="24"/>
        </w:rPr>
        <w:t xml:space="preserve">, &amp; </w:t>
      </w:r>
      <w:proofErr w:type="spellStart"/>
      <w:r>
        <w:rPr>
          <w:color w:val="000000"/>
          <w:sz w:val="24"/>
          <w:szCs w:val="24"/>
        </w:rPr>
        <w:t>Nuñez</w:t>
      </w:r>
      <w:proofErr w:type="spellEnd"/>
      <w:r>
        <w:rPr>
          <w:color w:val="000000"/>
          <w:sz w:val="24"/>
          <w:szCs w:val="24"/>
        </w:rPr>
        <w:t>, (2022) existen percepciones a cerca de competencias en la participación política escolar que se deben tener que están ligadas a la expresión en público, tener buenas relaciones con los pares y docentes.</w:t>
      </w:r>
    </w:p>
    <w:p w14:paraId="529A8ABA" w14:textId="77777777" w:rsidR="007550EF" w:rsidRDefault="00000000">
      <w:pPr>
        <w:spacing w:line="360" w:lineRule="auto"/>
        <w:jc w:val="both"/>
        <w:rPr>
          <w:color w:val="000000"/>
          <w:sz w:val="24"/>
          <w:szCs w:val="24"/>
        </w:rPr>
      </w:pPr>
      <w:r>
        <w:rPr>
          <w:sz w:val="24"/>
          <w:szCs w:val="24"/>
        </w:rPr>
        <w:t>E</w:t>
      </w:r>
      <w:r>
        <w:rPr>
          <w:color w:val="000000"/>
          <w:sz w:val="24"/>
          <w:szCs w:val="24"/>
        </w:rPr>
        <w:t xml:space="preserve">sto se vincula con los sesgos que emergen en la arena política y con prejuicios y estereotipos que marcan la educación de las mujeres en general y que se trasladan al escenario educativo: </w:t>
      </w:r>
    </w:p>
    <w:p w14:paraId="0DC8DD96" w14:textId="77777777" w:rsidR="007550EF" w:rsidRDefault="00000000">
      <w:pPr>
        <w:spacing w:line="360" w:lineRule="auto"/>
        <w:ind w:left="720"/>
        <w:jc w:val="both"/>
        <w:rPr>
          <w:i/>
          <w:color w:val="000000"/>
          <w:sz w:val="24"/>
          <w:szCs w:val="24"/>
        </w:rPr>
      </w:pPr>
      <w:r>
        <w:rPr>
          <w:i/>
          <w:color w:val="000000"/>
          <w:sz w:val="24"/>
          <w:szCs w:val="24"/>
        </w:rPr>
        <w:t>(…) El sujeto político femenino se forma desde perspectivas de necesidad y de dependencia; por tanto, su configuración ciudadana también se ve reflejada por una marcada subordinación y poderío androcéntrico. (Delgado, 2016, p. 109)</w:t>
      </w:r>
    </w:p>
    <w:p w14:paraId="6DE98487" w14:textId="77777777" w:rsidR="007550EF" w:rsidRDefault="00000000">
      <w:pPr>
        <w:spacing w:line="360" w:lineRule="auto"/>
        <w:jc w:val="both"/>
        <w:rPr>
          <w:color w:val="000000"/>
          <w:sz w:val="24"/>
          <w:szCs w:val="24"/>
        </w:rPr>
      </w:pPr>
      <w:r>
        <w:rPr>
          <w:color w:val="000000"/>
          <w:sz w:val="24"/>
          <w:szCs w:val="24"/>
        </w:rPr>
        <w:t xml:space="preserve">           En esta </w:t>
      </w:r>
      <w:r>
        <w:rPr>
          <w:sz w:val="24"/>
          <w:szCs w:val="24"/>
        </w:rPr>
        <w:t>línea</w:t>
      </w:r>
      <w:r>
        <w:rPr>
          <w:color w:val="000000"/>
          <w:sz w:val="24"/>
          <w:szCs w:val="24"/>
        </w:rPr>
        <w:t xml:space="preserve"> </w:t>
      </w:r>
      <w:r>
        <w:rPr>
          <w:sz w:val="24"/>
          <w:szCs w:val="24"/>
        </w:rPr>
        <w:t>está</w:t>
      </w:r>
      <w:r>
        <w:rPr>
          <w:color w:val="000000"/>
          <w:sz w:val="24"/>
          <w:szCs w:val="24"/>
        </w:rPr>
        <w:t xml:space="preserve"> el trabajo Girón (2021)</w:t>
      </w:r>
      <w:r>
        <w:rPr>
          <w:i/>
          <w:color w:val="000000"/>
          <w:sz w:val="24"/>
          <w:szCs w:val="24"/>
        </w:rPr>
        <w:t xml:space="preserve"> </w:t>
      </w:r>
      <w:r>
        <w:rPr>
          <w:color w:val="000000"/>
          <w:sz w:val="24"/>
          <w:szCs w:val="24"/>
        </w:rPr>
        <w:t xml:space="preserve">llama a la conciencia a las niñas y </w:t>
      </w:r>
      <w:r>
        <w:rPr>
          <w:sz w:val="24"/>
          <w:szCs w:val="24"/>
        </w:rPr>
        <w:t>jóvenes</w:t>
      </w:r>
      <w:r>
        <w:rPr>
          <w:color w:val="000000"/>
          <w:sz w:val="24"/>
          <w:szCs w:val="24"/>
        </w:rPr>
        <w:t xml:space="preserve"> sobre sus capacidades y la comprensión de la lucha que ha ocurrido para que las mujeres puedan abrirse espacio en paradigmas </w:t>
      </w:r>
      <w:r>
        <w:rPr>
          <w:sz w:val="24"/>
          <w:szCs w:val="24"/>
        </w:rPr>
        <w:t>históricamente</w:t>
      </w:r>
      <w:r>
        <w:rPr>
          <w:color w:val="000000"/>
          <w:sz w:val="24"/>
          <w:szCs w:val="24"/>
        </w:rPr>
        <w:t xml:space="preserve"> cerrados a las mujeres. El término “empoderamiento se refiere a una gama de actividades que van desde la autoafirmación individual hasta la resistencia colectiva, la protesta y la movilización para desafiar las relaciones de poder.” (Girón 2021, p. 35). y a</w:t>
      </w:r>
      <w:r>
        <w:rPr>
          <w:sz w:val="24"/>
          <w:szCs w:val="24"/>
        </w:rPr>
        <w:t>ñade esta autora que en su investigación (...) “</w:t>
      </w:r>
      <w:r>
        <w:rPr>
          <w:color w:val="000000"/>
          <w:sz w:val="24"/>
          <w:szCs w:val="24"/>
        </w:rPr>
        <w:t>de los 7 años analizados solo 2 veces uno de estos puestos fue ocupado por mujeres, en el año 2019 y 2021</w:t>
      </w:r>
      <w:r>
        <w:rPr>
          <w:sz w:val="24"/>
          <w:szCs w:val="24"/>
        </w:rPr>
        <w:t>”</w:t>
      </w:r>
      <w:r>
        <w:rPr>
          <w:color w:val="000000"/>
          <w:sz w:val="24"/>
          <w:szCs w:val="24"/>
        </w:rPr>
        <w:t>. (Girón 2021, p. 56)</w:t>
      </w:r>
    </w:p>
    <w:p w14:paraId="328E225C" w14:textId="77777777" w:rsidR="007550EF" w:rsidRDefault="00000000">
      <w:pPr>
        <w:spacing w:line="360" w:lineRule="auto"/>
        <w:ind w:firstLine="720"/>
        <w:jc w:val="both"/>
        <w:rPr>
          <w:color w:val="000000"/>
          <w:sz w:val="24"/>
          <w:szCs w:val="24"/>
        </w:rPr>
      </w:pPr>
      <w:r>
        <w:rPr>
          <w:color w:val="000000"/>
          <w:sz w:val="24"/>
          <w:szCs w:val="24"/>
        </w:rPr>
        <w:t xml:space="preserve">Esto se explica </w:t>
      </w:r>
      <w:r>
        <w:rPr>
          <w:sz w:val="24"/>
          <w:szCs w:val="24"/>
        </w:rPr>
        <w:t>siguiendo a Girón</w:t>
      </w:r>
      <w:r>
        <w:rPr>
          <w:color w:val="000000"/>
          <w:sz w:val="24"/>
          <w:szCs w:val="24"/>
        </w:rPr>
        <w:t xml:space="preserve"> (2021) y a</w:t>
      </w:r>
      <w:r>
        <w:rPr>
          <w:sz w:val="24"/>
          <w:szCs w:val="24"/>
        </w:rPr>
        <w:t xml:space="preserve"> </w:t>
      </w:r>
      <w:r>
        <w:rPr>
          <w:color w:val="000000"/>
          <w:sz w:val="24"/>
          <w:szCs w:val="24"/>
        </w:rPr>
        <w:t xml:space="preserve">Jara Ibarra, Sánchez Bachmann, Cox, &amp; Montecinos, (2021) pues a las mujeres se les considera o se le </w:t>
      </w:r>
      <w:r>
        <w:rPr>
          <w:sz w:val="24"/>
          <w:szCs w:val="24"/>
        </w:rPr>
        <w:t>restringe</w:t>
      </w:r>
      <w:r>
        <w:rPr>
          <w:color w:val="000000"/>
          <w:sz w:val="24"/>
          <w:szCs w:val="24"/>
        </w:rPr>
        <w:t xml:space="preserve"> a espacios</w:t>
      </w:r>
      <w:r>
        <w:rPr>
          <w:sz w:val="24"/>
          <w:szCs w:val="24"/>
        </w:rPr>
        <w:t xml:space="preserve"> diferentes a la política escolar como lo lúdico y lo deportivo. </w:t>
      </w:r>
      <w:r>
        <w:rPr>
          <w:color w:val="000000"/>
          <w:sz w:val="24"/>
          <w:szCs w:val="24"/>
        </w:rPr>
        <w:t xml:space="preserve">Por ello </w:t>
      </w:r>
      <w:r>
        <w:rPr>
          <w:sz w:val="24"/>
          <w:szCs w:val="24"/>
        </w:rPr>
        <w:t>e</w:t>
      </w:r>
      <w:r>
        <w:rPr>
          <w:color w:val="000000"/>
          <w:sz w:val="24"/>
          <w:szCs w:val="24"/>
        </w:rPr>
        <w:t xml:space="preserve">s importante reconocer en estos espacios la igualdad, la escucha, al diálogo para de ese modo transitar hacia una transformación de modos y prácticas tradicionales que reproducen un sistema excluyente, es imperante reconocer en la democracia y en su escenario, pues siguiendo a la Alcaldía Mayor de Bogotá (2013) es un proceso colectivo, de propuestas, pues el compromiso no </w:t>
      </w:r>
      <w:r>
        <w:rPr>
          <w:sz w:val="24"/>
          <w:szCs w:val="24"/>
        </w:rPr>
        <w:t>está</w:t>
      </w:r>
      <w:r>
        <w:rPr>
          <w:color w:val="000000"/>
          <w:sz w:val="24"/>
          <w:szCs w:val="24"/>
        </w:rPr>
        <w:t xml:space="preserve"> solo en quien fue elegido o elegida sino en su comunidad y comunidad educativa.</w:t>
      </w:r>
    </w:p>
    <w:p w14:paraId="11C8EBE1" w14:textId="77777777" w:rsidR="007550EF" w:rsidRDefault="00000000">
      <w:pPr>
        <w:pBdr>
          <w:top w:val="nil"/>
          <w:left w:val="nil"/>
          <w:bottom w:val="nil"/>
          <w:right w:val="nil"/>
          <w:between w:val="nil"/>
        </w:pBdr>
        <w:spacing w:before="280" w:after="280" w:line="360" w:lineRule="auto"/>
        <w:jc w:val="both"/>
        <w:rPr>
          <w:color w:val="000000"/>
          <w:sz w:val="24"/>
          <w:szCs w:val="24"/>
        </w:rPr>
      </w:pPr>
      <w:r>
        <w:rPr>
          <w:color w:val="000000"/>
          <w:sz w:val="24"/>
          <w:szCs w:val="24"/>
        </w:rPr>
        <w:t xml:space="preserve">Diversos autores enfatizan en que es difícil pensar una aplicación real del Género dentro de los procesos educativos, siguiendo a </w:t>
      </w:r>
      <w:proofErr w:type="spellStart"/>
      <w:r>
        <w:rPr>
          <w:color w:val="000000"/>
          <w:sz w:val="24"/>
          <w:szCs w:val="24"/>
        </w:rPr>
        <w:t>Colás</w:t>
      </w:r>
      <w:proofErr w:type="spellEnd"/>
      <w:r>
        <w:rPr>
          <w:color w:val="000000"/>
          <w:sz w:val="24"/>
          <w:szCs w:val="24"/>
        </w:rPr>
        <w:t xml:space="preserve"> Bravo &amp; Jiménez Cortés, (2006) debido a una carencia de aportes teóricos de corte de Género en las estrategias, y procesos de enseñanza – aprendizaje, y </w:t>
      </w:r>
      <w:r>
        <w:rPr>
          <w:color w:val="000000"/>
          <w:sz w:val="24"/>
          <w:szCs w:val="24"/>
        </w:rPr>
        <w:lastRenderedPageBreak/>
        <w:t>por la permanencia de un silenciamiento de la discriminación de Género que continua en los procesos educativos en la escuela. Precisamente Aguilar (2015) encuentra que el espacio para la participación estudiantil femenina tiene muchas dificultades pues continúan siendo evidentes prácticas de violencia simbólica hacia las niñas y jóvenes</w:t>
      </w:r>
      <w:r>
        <w:rPr>
          <w:sz w:val="24"/>
          <w:szCs w:val="24"/>
        </w:rPr>
        <w:t>.</w:t>
      </w:r>
      <w:r>
        <w:rPr>
          <w:color w:val="000000"/>
          <w:sz w:val="24"/>
          <w:szCs w:val="24"/>
        </w:rPr>
        <w:t xml:space="preserve"> </w:t>
      </w:r>
    </w:p>
    <w:p w14:paraId="640DE303" w14:textId="77777777" w:rsidR="007550EF" w:rsidRDefault="00000000">
      <w:pPr>
        <w:pBdr>
          <w:top w:val="nil"/>
          <w:left w:val="nil"/>
          <w:bottom w:val="nil"/>
          <w:right w:val="nil"/>
          <w:between w:val="nil"/>
        </w:pBdr>
        <w:spacing w:before="280" w:after="280" w:line="360" w:lineRule="auto"/>
        <w:jc w:val="both"/>
        <w:rPr>
          <w:sz w:val="24"/>
          <w:szCs w:val="24"/>
        </w:rPr>
      </w:pPr>
      <w:r>
        <w:rPr>
          <w:color w:val="000000"/>
          <w:sz w:val="24"/>
          <w:szCs w:val="24"/>
        </w:rPr>
        <w:t>Como lo arguye</w:t>
      </w:r>
      <w:r>
        <w:rPr>
          <w:sz w:val="24"/>
          <w:szCs w:val="24"/>
        </w:rPr>
        <w:t xml:space="preserve"> </w:t>
      </w:r>
      <w:r>
        <w:rPr>
          <w:color w:val="000000"/>
          <w:sz w:val="24"/>
          <w:szCs w:val="24"/>
        </w:rPr>
        <w:t>García Villanueva, Becerril Iturriaga, Hernández Ramírez (2019) Una “alumna tranquila” no grita, pero sí habla con su compañera que se encuentra a un lado de ella, no discute las temáticas revisadas en la clase ni arrebata la palabra, lo que hace es realizar las actividades en su lugar con rapidez. (p. 52)</w:t>
      </w:r>
    </w:p>
    <w:p w14:paraId="03CAE6D9" w14:textId="77777777" w:rsidR="007550EF" w:rsidRDefault="00000000">
      <w:pPr>
        <w:pBdr>
          <w:top w:val="nil"/>
          <w:left w:val="nil"/>
          <w:bottom w:val="nil"/>
          <w:right w:val="nil"/>
          <w:between w:val="nil"/>
        </w:pBdr>
        <w:spacing w:before="280" w:after="280" w:line="360" w:lineRule="auto"/>
        <w:jc w:val="both"/>
        <w:rPr>
          <w:color w:val="000000"/>
          <w:sz w:val="24"/>
          <w:szCs w:val="24"/>
        </w:rPr>
      </w:pPr>
      <w:r>
        <w:rPr>
          <w:color w:val="000000"/>
          <w:sz w:val="24"/>
          <w:szCs w:val="24"/>
        </w:rPr>
        <w:t xml:space="preserve">Agregando a lo anterior Navarrete et </w:t>
      </w:r>
      <w:proofErr w:type="spellStart"/>
      <w:r>
        <w:rPr>
          <w:color w:val="000000"/>
          <w:sz w:val="24"/>
          <w:szCs w:val="24"/>
        </w:rPr>
        <w:t>all</w:t>
      </w:r>
      <w:proofErr w:type="spellEnd"/>
      <w:r>
        <w:rPr>
          <w:color w:val="000000"/>
          <w:sz w:val="24"/>
          <w:szCs w:val="24"/>
        </w:rPr>
        <w:t>. (2018) argumentan</w:t>
      </w:r>
    </w:p>
    <w:p w14:paraId="1A06D6DF" w14:textId="77777777" w:rsidR="007550EF" w:rsidRDefault="00000000">
      <w:pPr>
        <w:pBdr>
          <w:top w:val="nil"/>
          <w:left w:val="nil"/>
          <w:bottom w:val="nil"/>
          <w:right w:val="nil"/>
          <w:between w:val="nil"/>
        </w:pBdr>
        <w:spacing w:before="280" w:after="280" w:line="360" w:lineRule="auto"/>
        <w:ind w:left="720" w:firstLine="708"/>
        <w:jc w:val="both"/>
        <w:rPr>
          <w:i/>
          <w:color w:val="000000"/>
          <w:sz w:val="24"/>
          <w:szCs w:val="24"/>
        </w:rPr>
      </w:pPr>
      <w:r>
        <w:rPr>
          <w:i/>
          <w:color w:val="000000"/>
          <w:sz w:val="24"/>
          <w:szCs w:val="24"/>
        </w:rPr>
        <w:t>(…) aún prevalecen creencias dogmáticas, estereotipadas, patriarcales y hasta misóginas, alimentadas por ciertas comprensiones religiosas, estéticas, jurídicas o políticas, entre otras. (p. 145)</w:t>
      </w:r>
    </w:p>
    <w:p w14:paraId="136DD9CB" w14:textId="77777777" w:rsidR="007550EF" w:rsidRDefault="00000000">
      <w:pPr>
        <w:pBdr>
          <w:top w:val="nil"/>
          <w:left w:val="nil"/>
          <w:bottom w:val="nil"/>
          <w:right w:val="nil"/>
          <w:between w:val="nil"/>
        </w:pBdr>
        <w:spacing w:before="280" w:after="280" w:line="360" w:lineRule="auto"/>
        <w:jc w:val="both"/>
        <w:rPr>
          <w:color w:val="000000"/>
          <w:sz w:val="24"/>
          <w:szCs w:val="24"/>
        </w:rPr>
      </w:pPr>
      <w:r>
        <w:rPr>
          <w:color w:val="000000"/>
          <w:sz w:val="24"/>
          <w:szCs w:val="24"/>
        </w:rPr>
        <w:t xml:space="preserve">Esto se une a la </w:t>
      </w:r>
      <w:r>
        <w:rPr>
          <w:sz w:val="24"/>
          <w:szCs w:val="24"/>
        </w:rPr>
        <w:t>persistencia</w:t>
      </w:r>
      <w:r>
        <w:rPr>
          <w:color w:val="000000"/>
          <w:sz w:val="24"/>
          <w:szCs w:val="24"/>
        </w:rPr>
        <w:t xml:space="preserve"> y significativas desigualdades en la educación que se ven desbordadas por el predominio del sistema económico neoliberal que amplia desigualdad en términos económicos. Como lo sugiere Valdivieso:</w:t>
      </w:r>
    </w:p>
    <w:p w14:paraId="7848FDBC" w14:textId="77777777" w:rsidR="007550EF" w:rsidRDefault="00000000">
      <w:pPr>
        <w:pBdr>
          <w:top w:val="nil"/>
          <w:left w:val="nil"/>
          <w:bottom w:val="nil"/>
          <w:right w:val="nil"/>
          <w:between w:val="nil"/>
        </w:pBdr>
        <w:spacing w:before="280" w:after="280" w:line="360" w:lineRule="auto"/>
        <w:ind w:left="720" w:firstLine="720"/>
        <w:jc w:val="both"/>
        <w:rPr>
          <w:i/>
          <w:color w:val="000000"/>
          <w:sz w:val="24"/>
          <w:szCs w:val="24"/>
        </w:rPr>
      </w:pPr>
      <w:r>
        <w:rPr>
          <w:i/>
          <w:color w:val="000000"/>
          <w:sz w:val="24"/>
          <w:szCs w:val="24"/>
        </w:rPr>
        <w:t>Los efectos de la reestructuración de los modos de vida que pretende la globalización no son iguales para hombres y mujeres,</w:t>
      </w:r>
      <w:r>
        <w:rPr>
          <w:i/>
          <w:sz w:val="24"/>
          <w:szCs w:val="24"/>
        </w:rPr>
        <w:t xml:space="preserve"> (...) </w:t>
      </w:r>
      <w:r>
        <w:rPr>
          <w:i/>
          <w:color w:val="000000"/>
          <w:sz w:val="24"/>
          <w:szCs w:val="24"/>
        </w:rPr>
        <w:t>no obstante todas ellas son afectadas específicamente, como resultado de su posición en la división sexual del trabajo y de su posición de subordinación genérica (2009, p. 31).</w:t>
      </w:r>
    </w:p>
    <w:p w14:paraId="233B0FF5" w14:textId="77777777" w:rsidR="007550EF" w:rsidRDefault="00000000">
      <w:pPr>
        <w:pBdr>
          <w:top w:val="nil"/>
          <w:left w:val="nil"/>
          <w:bottom w:val="nil"/>
          <w:right w:val="nil"/>
          <w:between w:val="nil"/>
        </w:pBdr>
        <w:spacing w:before="280" w:after="280" w:line="360" w:lineRule="auto"/>
        <w:jc w:val="both"/>
        <w:rPr>
          <w:color w:val="000000"/>
          <w:sz w:val="24"/>
          <w:szCs w:val="24"/>
        </w:rPr>
      </w:pPr>
      <w:r>
        <w:rPr>
          <w:color w:val="000000"/>
          <w:sz w:val="24"/>
          <w:szCs w:val="24"/>
        </w:rPr>
        <w:t xml:space="preserve"> En este sentido estas realidades repercuten en acceso a educación de calidad, fortaleciendo las brechas de desigualdad social, política, y de </w:t>
      </w:r>
      <w:proofErr w:type="spellStart"/>
      <w:r>
        <w:rPr>
          <w:color w:val="000000"/>
          <w:sz w:val="24"/>
          <w:szCs w:val="24"/>
        </w:rPr>
        <w:t>invisibilización</w:t>
      </w:r>
      <w:proofErr w:type="spellEnd"/>
      <w:r>
        <w:rPr>
          <w:color w:val="000000"/>
          <w:sz w:val="24"/>
          <w:szCs w:val="24"/>
        </w:rPr>
        <w:t xml:space="preserve"> cultural. Es por ello que </w:t>
      </w:r>
      <w:proofErr w:type="spellStart"/>
      <w:r>
        <w:rPr>
          <w:color w:val="000000"/>
          <w:sz w:val="24"/>
          <w:szCs w:val="24"/>
        </w:rPr>
        <w:t>Follegati</w:t>
      </w:r>
      <w:proofErr w:type="spellEnd"/>
      <w:r>
        <w:rPr>
          <w:color w:val="000000"/>
          <w:sz w:val="24"/>
          <w:szCs w:val="24"/>
        </w:rPr>
        <w:t xml:space="preserve">, Matus, &amp; Errázuriz (2022) y Martínez López de Castro (2018), investigan sobre las relaciones que se dan al interior del escenario escolar, relaciones caracterizadas por disputas de poder y de disputas sobre la enseñanza y aprendizaje, pero también de producción de subjetividades y normatividades. Precisamente, esta investigación permite analizar el papel que cumple la escuela en la reproducción de un sistema normativo neoliberal que plasma y produce diferencias sexistas. </w:t>
      </w:r>
    </w:p>
    <w:p w14:paraId="2BDFEAD2" w14:textId="77777777" w:rsidR="007550EF" w:rsidRDefault="00000000">
      <w:pPr>
        <w:pBdr>
          <w:top w:val="nil"/>
          <w:left w:val="nil"/>
          <w:bottom w:val="nil"/>
          <w:right w:val="nil"/>
          <w:between w:val="nil"/>
        </w:pBdr>
        <w:spacing w:before="280" w:after="280" w:line="360" w:lineRule="auto"/>
        <w:jc w:val="both"/>
        <w:rPr>
          <w:color w:val="000000"/>
          <w:sz w:val="24"/>
          <w:szCs w:val="24"/>
        </w:rPr>
      </w:pPr>
      <w:bookmarkStart w:id="6" w:name="_heading=h.3dy6vkm" w:colFirst="0" w:colLast="0"/>
      <w:bookmarkEnd w:id="6"/>
      <w:r>
        <w:rPr>
          <w:color w:val="000000"/>
          <w:sz w:val="24"/>
          <w:szCs w:val="24"/>
        </w:rPr>
        <w:lastRenderedPageBreak/>
        <w:t xml:space="preserve">Desde lo planteado por Leiva Olivencia &amp; Pedrero García (2014) “es imprescindible desarrollar acciones educativas interculturales desde una perspectiva de </w:t>
      </w:r>
      <w:r>
        <w:rPr>
          <w:sz w:val="24"/>
          <w:szCs w:val="24"/>
        </w:rPr>
        <w:t>G</w:t>
      </w:r>
      <w:r>
        <w:rPr>
          <w:color w:val="000000"/>
          <w:sz w:val="24"/>
          <w:szCs w:val="24"/>
        </w:rPr>
        <w:t>énero porque son las mujeres inmigrantes, las madres inmigrantes quienes están promoviendo de primera mano la interculturalidad”. (p. 994)</w:t>
      </w:r>
    </w:p>
    <w:p w14:paraId="48403256" w14:textId="77777777" w:rsidR="007550EF" w:rsidRDefault="00000000">
      <w:pPr>
        <w:pBdr>
          <w:top w:val="nil"/>
          <w:left w:val="nil"/>
          <w:bottom w:val="nil"/>
          <w:right w:val="nil"/>
          <w:between w:val="nil"/>
        </w:pBdr>
        <w:spacing w:before="280" w:after="280" w:line="360" w:lineRule="auto"/>
        <w:jc w:val="both"/>
        <w:rPr>
          <w:sz w:val="24"/>
          <w:szCs w:val="24"/>
        </w:rPr>
      </w:pPr>
      <w:r>
        <w:rPr>
          <w:color w:val="000000"/>
          <w:sz w:val="24"/>
          <w:szCs w:val="24"/>
        </w:rPr>
        <w:t xml:space="preserve">La apuesta de varias </w:t>
      </w:r>
      <w:r>
        <w:rPr>
          <w:sz w:val="24"/>
          <w:szCs w:val="24"/>
        </w:rPr>
        <w:t xml:space="preserve">investigaciones citadas como Silva-Peña, 2010; como se citó en Montenegro et </w:t>
      </w:r>
      <w:proofErr w:type="spellStart"/>
      <w:r>
        <w:rPr>
          <w:sz w:val="24"/>
          <w:szCs w:val="24"/>
        </w:rPr>
        <w:t>all</w:t>
      </w:r>
      <w:proofErr w:type="spellEnd"/>
      <w:r>
        <w:rPr>
          <w:sz w:val="24"/>
          <w:szCs w:val="24"/>
        </w:rPr>
        <w:t>. (2021)  Tomé y Rambla, (2001), en este apartado</w:t>
      </w:r>
      <w:r>
        <w:rPr>
          <w:color w:val="000000"/>
          <w:sz w:val="24"/>
          <w:szCs w:val="24"/>
        </w:rPr>
        <w:t xml:space="preserve"> que analizan</w:t>
      </w:r>
      <w:r>
        <w:rPr>
          <w:sz w:val="24"/>
          <w:szCs w:val="24"/>
        </w:rPr>
        <w:t xml:space="preserve"> y reflexionan sobre el Género en espacios como lo educativo coinciden en la importancia</w:t>
      </w:r>
      <w:r>
        <w:rPr>
          <w:color w:val="000000"/>
          <w:sz w:val="24"/>
          <w:szCs w:val="24"/>
        </w:rPr>
        <w:t xml:space="preserve"> </w:t>
      </w:r>
      <w:r>
        <w:rPr>
          <w:sz w:val="24"/>
          <w:szCs w:val="24"/>
        </w:rPr>
        <w:t xml:space="preserve">de </w:t>
      </w:r>
      <w:r>
        <w:rPr>
          <w:color w:val="000000"/>
          <w:sz w:val="24"/>
          <w:szCs w:val="24"/>
        </w:rPr>
        <w:t>materializar</w:t>
      </w:r>
      <w:r>
        <w:rPr>
          <w:sz w:val="24"/>
          <w:szCs w:val="24"/>
        </w:rPr>
        <w:t xml:space="preserve"> proyectos </w:t>
      </w:r>
      <w:r>
        <w:rPr>
          <w:color w:val="000000"/>
          <w:sz w:val="24"/>
          <w:szCs w:val="24"/>
        </w:rPr>
        <w:t xml:space="preserve">que </w:t>
      </w:r>
      <w:r>
        <w:rPr>
          <w:sz w:val="24"/>
          <w:szCs w:val="24"/>
        </w:rPr>
        <w:t>den cabida</w:t>
      </w:r>
      <w:r>
        <w:rPr>
          <w:color w:val="000000"/>
          <w:sz w:val="24"/>
          <w:szCs w:val="24"/>
        </w:rPr>
        <w:t>, caminos</w:t>
      </w:r>
      <w:r>
        <w:rPr>
          <w:sz w:val="24"/>
          <w:szCs w:val="24"/>
        </w:rPr>
        <w:t xml:space="preserve"> y</w:t>
      </w:r>
      <w:r>
        <w:rPr>
          <w:color w:val="000000"/>
          <w:sz w:val="24"/>
          <w:szCs w:val="24"/>
        </w:rPr>
        <w:t xml:space="preserve"> puertas abiertas a la participación con enfoque de Género, para disminuir las brechas de acceso a escenarios políticos</w:t>
      </w:r>
      <w:r>
        <w:rPr>
          <w:sz w:val="24"/>
          <w:szCs w:val="24"/>
        </w:rPr>
        <w:t xml:space="preserve"> como lo es la Escuela de Liderazgo promovida por las investigadoras Parra &amp; Figueroa (2016)</w:t>
      </w:r>
      <w:r>
        <w:rPr>
          <w:color w:val="000000"/>
          <w:sz w:val="24"/>
          <w:szCs w:val="24"/>
        </w:rPr>
        <w:t xml:space="preserve"> </w:t>
      </w:r>
      <w:r>
        <w:rPr>
          <w:sz w:val="24"/>
          <w:szCs w:val="24"/>
        </w:rPr>
        <w:t>d</w:t>
      </w:r>
      <w:r>
        <w:rPr>
          <w:color w:val="000000"/>
          <w:sz w:val="24"/>
          <w:szCs w:val="24"/>
        </w:rPr>
        <w:t>e manera que la escuela sea espacio que desarrolla la formación y desde ahí proponer liderazgos con</w:t>
      </w:r>
      <w:r>
        <w:rPr>
          <w:sz w:val="24"/>
          <w:szCs w:val="24"/>
        </w:rPr>
        <w:t>scientes de la realidad, de la desigualdad, y la importancia de pensar una sociedad más justa, solidaria y democrática.</w:t>
      </w:r>
    </w:p>
    <w:p w14:paraId="61D7E1FC" w14:textId="77777777" w:rsidR="007550EF" w:rsidRDefault="00000000">
      <w:pPr>
        <w:pBdr>
          <w:top w:val="nil"/>
          <w:left w:val="nil"/>
          <w:bottom w:val="nil"/>
          <w:right w:val="nil"/>
          <w:between w:val="nil"/>
        </w:pBdr>
        <w:spacing w:before="280" w:after="280" w:line="360" w:lineRule="auto"/>
        <w:ind w:firstLine="720"/>
        <w:jc w:val="both"/>
        <w:rPr>
          <w:b/>
          <w:color w:val="000000"/>
          <w:sz w:val="24"/>
          <w:szCs w:val="24"/>
        </w:rPr>
      </w:pPr>
      <w:r>
        <w:rPr>
          <w:b/>
          <w:color w:val="000000"/>
          <w:sz w:val="24"/>
          <w:szCs w:val="24"/>
        </w:rPr>
        <w:t xml:space="preserve">La participación política estudiantil como categoría de análisis </w:t>
      </w:r>
    </w:p>
    <w:p w14:paraId="32056B19" w14:textId="77777777" w:rsidR="007550EF" w:rsidRDefault="00000000">
      <w:pPr>
        <w:pBdr>
          <w:top w:val="nil"/>
          <w:left w:val="nil"/>
          <w:bottom w:val="nil"/>
          <w:right w:val="nil"/>
          <w:between w:val="nil"/>
        </w:pBdr>
        <w:spacing w:before="280" w:after="280" w:line="360" w:lineRule="auto"/>
        <w:ind w:firstLine="720"/>
        <w:jc w:val="both"/>
        <w:rPr>
          <w:color w:val="000000"/>
          <w:sz w:val="24"/>
          <w:szCs w:val="24"/>
        </w:rPr>
      </w:pPr>
      <w:r>
        <w:rPr>
          <w:color w:val="000000"/>
          <w:sz w:val="24"/>
          <w:szCs w:val="24"/>
        </w:rPr>
        <w:t>La participación política en esta investigación es considerada como aquellas las actividades que le permiten a los sujetos ser partícipes en la toma de decisiones en la sociedad, y de la comunidad, desde la escucha, el diálogo, y el consenso. Siguiendo a García Rivera de Matheu (2012) y Ochoa (2021) la participación en la escuela desde la infancia va a permitir desarrollar conocimientos, habilidades y actitudes que no solo tienen que ver con los contenidos conceptuales, sino que permitirá desarrollar esos “otros aprendizajes” que aluden a la convivencia y a la formación ciudadana” (p.15) por lo que Guevara (1998) como se citó en Pérez Galván &amp; Ochoa Cervantes, (2017) aluden: “sin una educación basada en estos principios, las personas difícilmente podrán adquirir las habilidades y competencias necesarias para vivir en democracia, lo cual afirma la relación entre educación, democracia y formación ciudadana” (p. 180). Estos procesos siguiendo a Puerto Guerrero &amp; Tovar Roa (2014) requieren de un cuerpo de maestras y maestros que asuma desde valores democrático que permita la participación, lo colectivo y el liderazgo.</w:t>
      </w:r>
    </w:p>
    <w:p w14:paraId="14EA5CCD" w14:textId="77777777" w:rsidR="007550EF" w:rsidRDefault="00000000">
      <w:pPr>
        <w:pBdr>
          <w:top w:val="nil"/>
          <w:left w:val="nil"/>
          <w:bottom w:val="nil"/>
          <w:right w:val="nil"/>
          <w:between w:val="nil"/>
        </w:pBdr>
        <w:spacing w:before="280" w:after="280" w:line="360" w:lineRule="auto"/>
        <w:ind w:firstLine="720"/>
        <w:jc w:val="both"/>
        <w:rPr>
          <w:i/>
          <w:color w:val="000000"/>
          <w:sz w:val="24"/>
          <w:szCs w:val="24"/>
        </w:rPr>
      </w:pPr>
      <w:r>
        <w:rPr>
          <w:color w:val="000000"/>
          <w:sz w:val="24"/>
          <w:szCs w:val="24"/>
        </w:rPr>
        <w:lastRenderedPageBreak/>
        <w:t>Es por ello que en la escuela en donde las y los estudiantes se aproximan, se forman y participan en escenarios de participación como lo es el Gobierno Escolar, esta participación busca por un lado fortalecer los conocimientos de política, ciudadanía y por otra la apropiación del rol del liderazgo, de sujeto político, y reconocimiento del contexto, de la realidad que se busca a través de estos espacios transformar, para hacerlas un lugar mejor. Como lo enuncia Fumero (2010):</w:t>
      </w:r>
    </w:p>
    <w:p w14:paraId="7DF6D938" w14:textId="77777777" w:rsidR="007550EF" w:rsidRDefault="00000000">
      <w:pPr>
        <w:pBdr>
          <w:top w:val="nil"/>
          <w:left w:val="nil"/>
          <w:bottom w:val="nil"/>
          <w:right w:val="nil"/>
          <w:between w:val="nil"/>
        </w:pBdr>
        <w:spacing w:before="280" w:after="280" w:line="360" w:lineRule="auto"/>
        <w:ind w:left="720" w:firstLine="720"/>
        <w:jc w:val="both"/>
        <w:rPr>
          <w:i/>
          <w:color w:val="000000"/>
          <w:sz w:val="24"/>
          <w:szCs w:val="24"/>
        </w:rPr>
      </w:pPr>
      <w:r>
        <w:rPr>
          <w:i/>
          <w:color w:val="000000"/>
          <w:sz w:val="24"/>
          <w:szCs w:val="24"/>
        </w:rPr>
        <w:t>Los jóvenes estudiados como actores políticos y a quienes se les atribuyen identidades e intereses específicos, no son sujetos preexistentes, sino que existen como actores políticos a través del reconocimiento de los componentes que los constituyen y cohesionan, los cuales están en constante proceso de resignificación. (p. 156)</w:t>
      </w:r>
    </w:p>
    <w:p w14:paraId="01F834C1" w14:textId="77777777" w:rsidR="007550EF" w:rsidRDefault="00000000">
      <w:pPr>
        <w:pBdr>
          <w:top w:val="nil"/>
          <w:left w:val="nil"/>
          <w:bottom w:val="nil"/>
          <w:right w:val="nil"/>
          <w:between w:val="nil"/>
        </w:pBdr>
        <w:spacing w:before="280" w:after="280" w:line="360" w:lineRule="auto"/>
        <w:jc w:val="both"/>
        <w:rPr>
          <w:color w:val="000000"/>
          <w:sz w:val="24"/>
          <w:szCs w:val="24"/>
        </w:rPr>
      </w:pPr>
      <w:bookmarkStart w:id="7" w:name="_heading=h.26in1rg" w:colFirst="0" w:colLast="0"/>
      <w:bookmarkEnd w:id="7"/>
      <w:r>
        <w:rPr>
          <w:color w:val="000000"/>
          <w:sz w:val="24"/>
          <w:szCs w:val="24"/>
        </w:rPr>
        <w:t xml:space="preserve">Así pues, como estudiante poder participar en el Gobierno Escolar implica dos consideraciones, primera escuchar, ser escuchados y escuchar las propuestas </w:t>
      </w:r>
      <w:r>
        <w:rPr>
          <w:sz w:val="24"/>
          <w:szCs w:val="24"/>
        </w:rPr>
        <w:t>más</w:t>
      </w:r>
      <w:r>
        <w:rPr>
          <w:color w:val="000000"/>
          <w:sz w:val="24"/>
          <w:szCs w:val="24"/>
        </w:rPr>
        <w:t xml:space="preserve"> apropiadas para el contexto educativo, segunda tomar </w:t>
      </w:r>
      <w:r>
        <w:rPr>
          <w:sz w:val="24"/>
          <w:szCs w:val="24"/>
        </w:rPr>
        <w:t>decisión</w:t>
      </w:r>
      <w:r>
        <w:rPr>
          <w:color w:val="000000"/>
          <w:sz w:val="24"/>
          <w:szCs w:val="24"/>
        </w:rPr>
        <w:t xml:space="preserve"> y acción dentro de las propuestas que se convierten en proyectos para la institución educativa. (</w:t>
      </w:r>
      <w:proofErr w:type="spellStart"/>
      <w:r>
        <w:rPr>
          <w:color w:val="000000"/>
          <w:sz w:val="24"/>
          <w:szCs w:val="24"/>
        </w:rPr>
        <w:t>Mager</w:t>
      </w:r>
      <w:proofErr w:type="spellEnd"/>
      <w:r>
        <w:rPr>
          <w:color w:val="000000"/>
          <w:sz w:val="24"/>
          <w:szCs w:val="24"/>
        </w:rPr>
        <w:t xml:space="preserve"> y </w:t>
      </w:r>
      <w:proofErr w:type="spellStart"/>
      <w:r>
        <w:rPr>
          <w:color w:val="000000"/>
          <w:sz w:val="24"/>
          <w:szCs w:val="24"/>
        </w:rPr>
        <w:t>Nowak</w:t>
      </w:r>
      <w:proofErr w:type="spellEnd"/>
      <w:r>
        <w:rPr>
          <w:color w:val="000000"/>
          <w:sz w:val="24"/>
          <w:szCs w:val="24"/>
        </w:rPr>
        <w:t xml:space="preserve">, (2012), como se citó en Pérez Expósito (2014). (…) “revelan cómo la participación estudiantil tiene efectos positivos en el desarrollo de habilidades de comunicación, toma de decisiones, resolución de problemas y habilidades interpersonales y sociales”. (p.55), en esa misma línea están </w:t>
      </w:r>
      <w:proofErr w:type="spellStart"/>
      <w:r>
        <w:rPr>
          <w:color w:val="000000"/>
          <w:sz w:val="24"/>
          <w:szCs w:val="24"/>
        </w:rPr>
        <w:t>Ñañez</w:t>
      </w:r>
      <w:proofErr w:type="spellEnd"/>
      <w:r>
        <w:rPr>
          <w:color w:val="000000"/>
          <w:sz w:val="24"/>
          <w:szCs w:val="24"/>
        </w:rPr>
        <w:t xml:space="preserve"> &amp; </w:t>
      </w:r>
      <w:proofErr w:type="spellStart"/>
      <w:r>
        <w:rPr>
          <w:color w:val="000000"/>
          <w:sz w:val="24"/>
          <w:szCs w:val="24"/>
        </w:rPr>
        <w:t>Capera</w:t>
      </w:r>
      <w:proofErr w:type="spellEnd"/>
      <w:r>
        <w:rPr>
          <w:color w:val="000000"/>
          <w:sz w:val="24"/>
          <w:szCs w:val="24"/>
        </w:rPr>
        <w:t>, (2017), Zuleta (2001)</w:t>
      </w:r>
      <w:r>
        <w:rPr>
          <w:sz w:val="24"/>
          <w:szCs w:val="24"/>
        </w:rPr>
        <w:t xml:space="preserve">, </w:t>
      </w:r>
      <w:r>
        <w:rPr>
          <w:color w:val="000000"/>
          <w:sz w:val="24"/>
          <w:szCs w:val="24"/>
        </w:rPr>
        <w:t xml:space="preserve">Gutiérrez, (2020) citando a </w:t>
      </w:r>
      <w:proofErr w:type="spellStart"/>
      <w:r>
        <w:rPr>
          <w:color w:val="000000"/>
          <w:sz w:val="24"/>
          <w:szCs w:val="24"/>
        </w:rPr>
        <w:t>Siede</w:t>
      </w:r>
      <w:proofErr w:type="spellEnd"/>
      <w:r>
        <w:rPr>
          <w:color w:val="000000"/>
          <w:sz w:val="24"/>
          <w:szCs w:val="24"/>
        </w:rPr>
        <w:t xml:space="preserve"> (2007), Moreno (2021) recalcan este escenario tiene como fin la participación de toda la comunidad educativa  Aunque el escenario del Gobierno Escolar se piensa desde un escenario de participación, de diálogo, de colectivo, los estudiantes reducen a la participación al derecho al voto sin tener en cuenta que va más allá, hacia temas sociales y culturales en donde la participación social es vital. En esa medida Cuy Ávila &amp; Medina Torres, (2019) y Acosta &amp; Dávila, (2019) enfatizan en el desinterés y falta reconocimiento de la participación escolar se da por desconocimiento e ideas parciales sobre lo que significa el Gobierno Escolar y su conformación.        </w:t>
      </w:r>
    </w:p>
    <w:p w14:paraId="2A0C89E2" w14:textId="77777777" w:rsidR="007550EF" w:rsidRDefault="00000000">
      <w:pPr>
        <w:pBdr>
          <w:top w:val="nil"/>
          <w:left w:val="nil"/>
          <w:bottom w:val="nil"/>
          <w:right w:val="nil"/>
          <w:between w:val="nil"/>
        </w:pBdr>
        <w:spacing w:before="280" w:after="280" w:line="360" w:lineRule="auto"/>
        <w:jc w:val="both"/>
        <w:rPr>
          <w:color w:val="000000"/>
          <w:sz w:val="24"/>
          <w:szCs w:val="24"/>
        </w:rPr>
      </w:pPr>
      <w:bookmarkStart w:id="8" w:name="_heading=h.1t3h5sf" w:colFirst="0" w:colLast="0"/>
      <w:bookmarkEnd w:id="8"/>
      <w:r>
        <w:rPr>
          <w:color w:val="000000"/>
          <w:sz w:val="24"/>
          <w:szCs w:val="24"/>
        </w:rPr>
        <w:t xml:space="preserve">Es por eso que en los </w:t>
      </w:r>
      <w:r>
        <w:rPr>
          <w:sz w:val="24"/>
          <w:szCs w:val="24"/>
        </w:rPr>
        <w:t>últimos</w:t>
      </w:r>
      <w:r>
        <w:rPr>
          <w:color w:val="000000"/>
          <w:sz w:val="24"/>
          <w:szCs w:val="24"/>
        </w:rPr>
        <w:t xml:space="preserve"> años la apuesta de la </w:t>
      </w:r>
      <w:r>
        <w:rPr>
          <w:sz w:val="24"/>
          <w:szCs w:val="24"/>
        </w:rPr>
        <w:t>Institucionalidad</w:t>
      </w:r>
      <w:r>
        <w:rPr>
          <w:color w:val="000000"/>
          <w:sz w:val="24"/>
          <w:szCs w:val="24"/>
        </w:rPr>
        <w:t xml:space="preserve"> ha ido </w:t>
      </w:r>
      <w:r>
        <w:rPr>
          <w:sz w:val="24"/>
          <w:szCs w:val="24"/>
        </w:rPr>
        <w:t>acercándose</w:t>
      </w:r>
      <w:r>
        <w:rPr>
          <w:color w:val="000000"/>
          <w:sz w:val="24"/>
          <w:szCs w:val="24"/>
        </w:rPr>
        <w:t xml:space="preserve"> de manera pedag</w:t>
      </w:r>
      <w:r>
        <w:rPr>
          <w:sz w:val="24"/>
          <w:szCs w:val="24"/>
        </w:rPr>
        <w:t>ó</w:t>
      </w:r>
      <w:r>
        <w:rPr>
          <w:color w:val="000000"/>
          <w:sz w:val="24"/>
          <w:szCs w:val="24"/>
        </w:rPr>
        <w:t xml:space="preserve">gica y </w:t>
      </w:r>
      <w:r>
        <w:rPr>
          <w:sz w:val="24"/>
          <w:szCs w:val="24"/>
        </w:rPr>
        <w:t>didáctica</w:t>
      </w:r>
      <w:r>
        <w:rPr>
          <w:color w:val="000000"/>
          <w:sz w:val="24"/>
          <w:szCs w:val="24"/>
        </w:rPr>
        <w:t xml:space="preserve"> a la participación escolar, ejemplo de ello</w:t>
      </w:r>
      <w:r>
        <w:rPr>
          <w:sz w:val="24"/>
          <w:szCs w:val="24"/>
        </w:rPr>
        <w:t xml:space="preserve"> está la escuela de </w:t>
      </w:r>
      <w:r>
        <w:rPr>
          <w:sz w:val="24"/>
          <w:szCs w:val="24"/>
        </w:rPr>
        <w:lastRenderedPageBreak/>
        <w:t>participación juvenil (2009), A participar aprendo participando: Gobierno escolar y sistema de participación escolar (2013), El Gobierno Escolar (2019)</w:t>
      </w:r>
    </w:p>
    <w:p w14:paraId="3E127EAB" w14:textId="77777777" w:rsidR="007550EF" w:rsidRDefault="00000000">
      <w:pPr>
        <w:pBdr>
          <w:top w:val="nil"/>
          <w:left w:val="nil"/>
          <w:bottom w:val="nil"/>
          <w:right w:val="nil"/>
          <w:between w:val="nil"/>
        </w:pBdr>
        <w:spacing w:before="280" w:after="280" w:line="360" w:lineRule="auto"/>
        <w:jc w:val="both"/>
        <w:rPr>
          <w:color w:val="000000"/>
          <w:sz w:val="24"/>
          <w:szCs w:val="24"/>
        </w:rPr>
      </w:pPr>
      <w:bookmarkStart w:id="9" w:name="_heading=h.4d34og8" w:colFirst="0" w:colLast="0"/>
      <w:bookmarkEnd w:id="9"/>
      <w:r>
        <w:rPr>
          <w:color w:val="000000"/>
          <w:sz w:val="24"/>
          <w:szCs w:val="24"/>
        </w:rPr>
        <w:t xml:space="preserve">Teniendo en cuenta lo anterior se requiere entonces, primero, que el Gobierno Escolar pueda comprenderse desde un escenario activo y propositivo para repensar una democracia escolar que pueda atender las necesidades de las Instituciones educativas, pero también como un espacio para la formación de liderazgos activos, críticos y reflexivos y no simplemente como una motivación para obtener recompensas de tipo académico, tal como lo sugieren Girón (2021);  Quiñones, &amp; Tavera Londoño (2021) y </w:t>
      </w:r>
      <w:proofErr w:type="spellStart"/>
      <w:r>
        <w:rPr>
          <w:color w:val="000000"/>
          <w:sz w:val="24"/>
          <w:szCs w:val="24"/>
        </w:rPr>
        <w:t>Viáfara</w:t>
      </w:r>
      <w:proofErr w:type="spellEnd"/>
      <w:r>
        <w:rPr>
          <w:color w:val="000000"/>
          <w:sz w:val="24"/>
          <w:szCs w:val="24"/>
        </w:rPr>
        <w:t xml:space="preserve"> &amp; Solarte (2015) Pues se atenta a las prácticas democráticas de la escuela como lo sugieren Quiceno, Rojas &amp; Hernández (2019) y Téllez (2014)</w:t>
      </w:r>
    </w:p>
    <w:p w14:paraId="66922F40" w14:textId="77777777" w:rsidR="007550EF" w:rsidRDefault="00000000">
      <w:pPr>
        <w:pBdr>
          <w:top w:val="nil"/>
          <w:left w:val="nil"/>
          <w:bottom w:val="nil"/>
          <w:right w:val="nil"/>
          <w:between w:val="nil"/>
        </w:pBdr>
        <w:spacing w:before="280" w:after="280" w:line="360" w:lineRule="auto"/>
        <w:jc w:val="both"/>
        <w:rPr>
          <w:color w:val="000000"/>
          <w:sz w:val="24"/>
          <w:szCs w:val="24"/>
        </w:rPr>
      </w:pPr>
      <w:bookmarkStart w:id="10" w:name="_heading=h.2s8eyo1" w:colFirst="0" w:colLast="0"/>
      <w:bookmarkEnd w:id="10"/>
      <w:r>
        <w:rPr>
          <w:color w:val="000000"/>
          <w:sz w:val="24"/>
          <w:szCs w:val="24"/>
        </w:rPr>
        <w:t>Como lo afirma Cubides, (2001) “Los jóvenes no están preparados para asumir con “responsabilidad académica” y “sentido de disciplina y participación en las decisiones” (p. 17) o como lo refiere Correa (2016) “el gobierno escolar solo genera interés en el primer bimestre, en la postulación a candidatos y la posterior elección de los representantes, posteriormente, el entusiasmo por participar es abandonado y los elegidos asumen sus funciones con mucha incertidumbre.” (p.57). Como también lo sugieren Asprilla (2014)</w:t>
      </w:r>
      <w:r>
        <w:rPr>
          <w:sz w:val="24"/>
          <w:szCs w:val="24"/>
        </w:rPr>
        <w:t xml:space="preserve"> Alvarado (2014) </w:t>
      </w:r>
      <w:proofErr w:type="spellStart"/>
      <w:r>
        <w:rPr>
          <w:color w:val="000000"/>
          <w:sz w:val="24"/>
          <w:szCs w:val="24"/>
        </w:rPr>
        <w:t>Corchuelo</w:t>
      </w:r>
      <w:proofErr w:type="spellEnd"/>
      <w:r>
        <w:rPr>
          <w:color w:val="000000"/>
          <w:sz w:val="24"/>
          <w:szCs w:val="24"/>
        </w:rPr>
        <w:t xml:space="preserve"> Chavarro, 2020) es necesario transitar hacia el compromiso con la democracia para que los estudiantes desde el análisis y la reflexión puedan participar. </w:t>
      </w:r>
    </w:p>
    <w:p w14:paraId="112B8EE2" w14:textId="77777777" w:rsidR="007550EF" w:rsidRDefault="00000000">
      <w:pPr>
        <w:pBdr>
          <w:top w:val="nil"/>
          <w:left w:val="nil"/>
          <w:bottom w:val="nil"/>
          <w:right w:val="nil"/>
          <w:between w:val="nil"/>
        </w:pBdr>
        <w:spacing w:before="280" w:after="280" w:line="360" w:lineRule="auto"/>
        <w:jc w:val="both"/>
        <w:rPr>
          <w:sz w:val="24"/>
          <w:szCs w:val="24"/>
        </w:rPr>
      </w:pPr>
      <w:bookmarkStart w:id="11" w:name="_heading=h.17dp8vu" w:colFirst="0" w:colLast="0"/>
      <w:bookmarkEnd w:id="11"/>
      <w:r>
        <w:rPr>
          <w:color w:val="000000"/>
          <w:sz w:val="24"/>
          <w:szCs w:val="24"/>
        </w:rPr>
        <w:t>Así para que las niñas y las jóvenes puedan trascender los espacios de participación de aulas, y de socialización con compañeros es necesario que puedan tener escenarios de representación política,</w:t>
      </w:r>
      <w:r>
        <w:rPr>
          <w:sz w:val="24"/>
          <w:szCs w:val="24"/>
        </w:rPr>
        <w:t xml:space="preserve"> y como lo argumenta Valencia (2018) en su investigación dada en el colegio distrital de Bogotá Marruecos y Molinos en donde un joven dice: “</w:t>
      </w:r>
      <w:r>
        <w:rPr>
          <w:color w:val="000000"/>
          <w:sz w:val="24"/>
          <w:szCs w:val="24"/>
        </w:rPr>
        <w:t>yo digo que participación política no es solo que yo esté en un grupo político, sino que se pueda apoyar, opinar, etc. Es como quiero que hagan esto y que me tengan en cuenta” (p.116). Que, aunque en la institución educativa se hace un proceso de democracia que sirve de apoyo al personero, personera y cabildante en sus cargos y promueve algunos espacios de formación no ha sido del todo exitoso pues no ofrece un espacio de participación para las jóvenes dentro del Gobierno Escolar.  Como se pu</w:t>
      </w:r>
      <w:r>
        <w:rPr>
          <w:sz w:val="24"/>
          <w:szCs w:val="24"/>
        </w:rPr>
        <w:t xml:space="preserve">do evidenciar esta categoría circunda entre el ideal de la democracia escolar y sus valores y lo que en realidad sucede </w:t>
      </w:r>
      <w:r>
        <w:rPr>
          <w:sz w:val="24"/>
          <w:szCs w:val="24"/>
        </w:rPr>
        <w:lastRenderedPageBreak/>
        <w:t xml:space="preserve">al interior de la organización, desarrollo y vivencia de la democracia en el escenario del Gobierno Escolar. </w:t>
      </w:r>
    </w:p>
    <w:p w14:paraId="4F152567" w14:textId="77777777" w:rsidR="007550EF" w:rsidRDefault="00000000">
      <w:pPr>
        <w:pBdr>
          <w:top w:val="nil"/>
          <w:left w:val="nil"/>
          <w:bottom w:val="nil"/>
          <w:right w:val="nil"/>
          <w:between w:val="nil"/>
        </w:pBdr>
        <w:spacing w:before="280" w:after="280" w:line="360" w:lineRule="auto"/>
        <w:jc w:val="both"/>
        <w:rPr>
          <w:b/>
          <w:sz w:val="24"/>
          <w:szCs w:val="24"/>
        </w:rPr>
      </w:pPr>
      <w:r>
        <w:rPr>
          <w:b/>
          <w:sz w:val="24"/>
          <w:szCs w:val="24"/>
        </w:rPr>
        <w:t xml:space="preserve">Liderazgos femeninos </w:t>
      </w:r>
    </w:p>
    <w:p w14:paraId="7948CE2F" w14:textId="77777777" w:rsidR="007550EF" w:rsidRDefault="00000000">
      <w:pPr>
        <w:pBdr>
          <w:top w:val="nil"/>
          <w:left w:val="nil"/>
          <w:bottom w:val="nil"/>
          <w:right w:val="nil"/>
          <w:between w:val="nil"/>
        </w:pBdr>
        <w:spacing w:before="280" w:after="280" w:line="360" w:lineRule="auto"/>
        <w:jc w:val="both"/>
        <w:rPr>
          <w:sz w:val="24"/>
          <w:szCs w:val="24"/>
        </w:rPr>
      </w:pPr>
      <w:r>
        <w:rPr>
          <w:sz w:val="24"/>
          <w:szCs w:val="24"/>
        </w:rPr>
        <w:t xml:space="preserve">Esta categoría en esta revisión se dirige hacia liderazgo en clave feminista que supone comprender y analizar los avances en términos de equidad de Género en ámbitos como la política, la cultura y en lo social que se han dado en América Latina durante la última década; a su vez, requiere transversalizar los componentes teóricos – epistemológicos que son base para el feminismo con el fin de poder comprender de manera amplia que significan para todos estos liderazgos, movimientos y cambios que se están produciendo cada vez con más fuerza en diversos contextos. </w:t>
      </w:r>
    </w:p>
    <w:p w14:paraId="791AE53F" w14:textId="77777777" w:rsidR="007550EF" w:rsidRDefault="00000000">
      <w:pPr>
        <w:pBdr>
          <w:top w:val="nil"/>
          <w:left w:val="nil"/>
          <w:bottom w:val="nil"/>
          <w:right w:val="nil"/>
          <w:between w:val="nil"/>
        </w:pBdr>
        <w:spacing w:before="280" w:after="280" w:line="360" w:lineRule="auto"/>
        <w:jc w:val="both"/>
        <w:rPr>
          <w:sz w:val="24"/>
          <w:szCs w:val="24"/>
        </w:rPr>
      </w:pPr>
      <w:r>
        <w:rPr>
          <w:sz w:val="24"/>
          <w:szCs w:val="24"/>
        </w:rPr>
        <w:t>Luzuriaga, Ríos-Rivera, &amp; Chiriboga, (2022) argumentan la importancia que los nuevos liderazgos han tenido en la actualidad para los feminismos en América Latina “Las mujeres debido a su Género han tenido que conciliar los valores tradicionales de su contexto, con su presencia en la esfera pública y política” (</w:t>
      </w:r>
      <w:proofErr w:type="spellStart"/>
      <w:r>
        <w:rPr>
          <w:sz w:val="24"/>
          <w:szCs w:val="24"/>
        </w:rPr>
        <w:t>Kofman</w:t>
      </w:r>
      <w:proofErr w:type="spellEnd"/>
      <w:r>
        <w:rPr>
          <w:sz w:val="24"/>
          <w:szCs w:val="24"/>
        </w:rPr>
        <w:t xml:space="preserve">, 1998, como se citó en Luzuriaga et </w:t>
      </w:r>
      <w:proofErr w:type="spellStart"/>
      <w:r>
        <w:rPr>
          <w:sz w:val="24"/>
          <w:szCs w:val="24"/>
        </w:rPr>
        <w:t>all</w:t>
      </w:r>
      <w:proofErr w:type="spellEnd"/>
      <w:r>
        <w:rPr>
          <w:sz w:val="24"/>
          <w:szCs w:val="24"/>
        </w:rPr>
        <w:t xml:space="preserve">. 2022, p. 59) para repensar el acceso al escenario político a las mujeres, en la actualidad el liderazgo femenino se ubica como alternativa a las prácticas tradicionales. Como explica Abi-Hassan (2017) “el estilo de las mujeres líderes es también un reflejo de la contradicción entre los valores sociales tradicionales que se han impuesto debido a su género y la vida pública” (p.59). de igual forma siguiendo a </w:t>
      </w:r>
      <w:proofErr w:type="spellStart"/>
      <w:r>
        <w:rPr>
          <w:sz w:val="24"/>
          <w:szCs w:val="24"/>
        </w:rPr>
        <w:t>Msila</w:t>
      </w:r>
      <w:proofErr w:type="spellEnd"/>
      <w:r>
        <w:rPr>
          <w:sz w:val="24"/>
          <w:szCs w:val="24"/>
        </w:rPr>
        <w:t xml:space="preserve"> (2022) el liderazgo femenino tiene bases que transitan entre conciencia feminista, el empoderamiento y una visión plural para pensar la justicia social y la diversidad.</w:t>
      </w:r>
    </w:p>
    <w:p w14:paraId="17D98B9D" w14:textId="77777777" w:rsidR="007550EF" w:rsidRDefault="00000000">
      <w:pPr>
        <w:pBdr>
          <w:top w:val="nil"/>
          <w:left w:val="nil"/>
          <w:bottom w:val="nil"/>
          <w:right w:val="nil"/>
          <w:between w:val="nil"/>
        </w:pBdr>
        <w:spacing w:before="280" w:after="280" w:line="360" w:lineRule="auto"/>
        <w:jc w:val="both"/>
        <w:rPr>
          <w:sz w:val="24"/>
          <w:szCs w:val="24"/>
        </w:rPr>
      </w:pPr>
      <w:r>
        <w:rPr>
          <w:sz w:val="24"/>
          <w:szCs w:val="24"/>
        </w:rPr>
        <w:t xml:space="preserve">Estos cambios, han calado con fuerza no solo en la política, sino también en el escenario educativo. Así, en América Latina se han dado movimientos estudiantiles, y alternativas desde la escuela para ofrecer nuevas miradas y resistencia a las prácticas tradicionales, para transitar a espacios igualitarios en términos de Género. Desde esta perspectiva, los estudiantes se convierten entonces en la fuerza de contrapeso a tales estructuras de </w:t>
      </w:r>
      <w:proofErr w:type="spellStart"/>
      <w:r>
        <w:rPr>
          <w:sz w:val="24"/>
          <w:szCs w:val="24"/>
        </w:rPr>
        <w:t>invisibilización</w:t>
      </w:r>
      <w:proofErr w:type="spellEnd"/>
      <w:r>
        <w:rPr>
          <w:sz w:val="24"/>
          <w:szCs w:val="24"/>
        </w:rPr>
        <w:t xml:space="preserve">, violencia y opresión. De ahí que el ejemplo más claro sea el tratado por Daniela Lillo Muñoz (2020), en </w:t>
      </w:r>
      <w:r>
        <w:rPr>
          <w:i/>
          <w:sz w:val="24"/>
          <w:szCs w:val="24"/>
        </w:rPr>
        <w:t xml:space="preserve">Política, cuerpo y escuela: expresiones feministas en el marco del Movimiento Estudiantil </w:t>
      </w:r>
      <w:r>
        <w:rPr>
          <w:i/>
          <w:sz w:val="24"/>
          <w:szCs w:val="24"/>
        </w:rPr>
        <w:lastRenderedPageBreak/>
        <w:t>Secundario 2011-2016 en Chile</w:t>
      </w:r>
      <w:r>
        <w:rPr>
          <w:sz w:val="24"/>
          <w:szCs w:val="24"/>
        </w:rPr>
        <w:t xml:space="preserve">, pues este trabajo arroja luces acerca de que el movimiento estudiantil chileno en las últimas décadas ha puesto en relevancia diversas demandas ligadas a la educación pública, y la participación política de la mujer. Viéndose esta última limitada por diversos dispositivos de la escuela y el cuerpo; que funcionan como dispositivos que marcan la participación política en el movimiento estudiantil. Ante ello, el movimiento estudiantil secundario y universitario ha desarrollado expresiones, como por ejemplo “la marcha de las putas”, el colectivo </w:t>
      </w:r>
      <w:proofErr w:type="spellStart"/>
      <w:r>
        <w:rPr>
          <w:sz w:val="24"/>
          <w:szCs w:val="24"/>
        </w:rPr>
        <w:t>Lemebel</w:t>
      </w:r>
      <w:proofErr w:type="spellEnd"/>
      <w:r>
        <w:rPr>
          <w:sz w:val="24"/>
          <w:szCs w:val="24"/>
        </w:rPr>
        <w:t xml:space="preserve"> y las secretarías de Género en colegios, que se enmarcan desde los feminismos, y ponen en evidencia, la emergencia de una nueva perspectiva para analizar y criticar las relaciones de poder y discriminación que se presentan en la educación.</w:t>
      </w:r>
    </w:p>
    <w:p w14:paraId="0FCDC4E7" w14:textId="77777777" w:rsidR="007550EF" w:rsidRDefault="00000000">
      <w:pPr>
        <w:pBdr>
          <w:top w:val="nil"/>
          <w:left w:val="nil"/>
          <w:bottom w:val="nil"/>
          <w:right w:val="nil"/>
          <w:between w:val="nil"/>
        </w:pBdr>
        <w:spacing w:before="280" w:after="280" w:line="360" w:lineRule="auto"/>
        <w:jc w:val="both"/>
        <w:rPr>
          <w:sz w:val="24"/>
          <w:szCs w:val="24"/>
        </w:rPr>
      </w:pPr>
      <w:r>
        <w:rPr>
          <w:sz w:val="24"/>
          <w:szCs w:val="24"/>
        </w:rPr>
        <w:t xml:space="preserve">En esto es importante tener en cuenta que los jóvenes toman la iniciativa de movilizar transformaciones desde sus contextos. En ese sentido, Gil Hernández &amp; Pérez-Bustos en </w:t>
      </w:r>
      <w:r>
        <w:rPr>
          <w:i/>
          <w:sz w:val="24"/>
          <w:szCs w:val="24"/>
        </w:rPr>
        <w:t xml:space="preserve">Feminismos y estudios de género en Colombia </w:t>
      </w:r>
      <w:r>
        <w:rPr>
          <w:sz w:val="24"/>
          <w:szCs w:val="24"/>
        </w:rPr>
        <w:t>se aborda un campo académico y político en movimiento (2018) pues en sus apartados presenta experiencias pedagógicas y comunitarias que permiten repensar el lugar que tienen los colectivos, comunidades y activistas en la resignificación de los procesos de género al interior de sus comunidades. Estos procesos de acompañamiento han dado lugar a la conformación de semilleros de investigación liderados por jóvenes en diversos departamentos del país. Los ejemplos de resistencia estudiantil han resultado de la necesidad en América Latina en los últimos años de incidir por parte de los jóvenes en los escenarios políticos, sociales y culturales; como ya se vio en el contexto chileno; Sin embargo, otros países desde sus particularidades avanzan en la lucha de pensarse la cuestión de Género, como es el caso colombiano en donde se ha comenzado reflexionar y actuar ante las desigualdades de Género no solo en la escuela sino también en las comunidades y por supuesto en los liderazgos femeninos.</w:t>
      </w:r>
    </w:p>
    <w:p w14:paraId="6407949A" w14:textId="77777777" w:rsidR="007550EF" w:rsidRDefault="00000000">
      <w:pPr>
        <w:pBdr>
          <w:top w:val="nil"/>
          <w:left w:val="nil"/>
          <w:bottom w:val="nil"/>
          <w:right w:val="nil"/>
          <w:between w:val="nil"/>
        </w:pBdr>
        <w:spacing w:before="280" w:after="280" w:line="360" w:lineRule="auto"/>
        <w:jc w:val="both"/>
        <w:rPr>
          <w:b/>
          <w:i/>
          <w:color w:val="000000"/>
          <w:sz w:val="24"/>
          <w:szCs w:val="24"/>
        </w:rPr>
      </w:pPr>
      <w:r>
        <w:rPr>
          <w:b/>
          <w:i/>
          <w:color w:val="000000"/>
          <w:sz w:val="24"/>
          <w:szCs w:val="24"/>
        </w:rPr>
        <w:t xml:space="preserve">A modo de conclusión  </w:t>
      </w:r>
    </w:p>
    <w:p w14:paraId="11DCCB1D" w14:textId="77777777" w:rsidR="007550EF" w:rsidRDefault="00000000">
      <w:pPr>
        <w:pBdr>
          <w:top w:val="nil"/>
          <w:left w:val="nil"/>
          <w:bottom w:val="nil"/>
          <w:right w:val="nil"/>
          <w:between w:val="nil"/>
        </w:pBdr>
        <w:spacing w:before="280" w:after="280" w:line="360" w:lineRule="auto"/>
        <w:jc w:val="both"/>
        <w:rPr>
          <w:color w:val="000000"/>
          <w:sz w:val="24"/>
          <w:szCs w:val="24"/>
        </w:rPr>
      </w:pPr>
      <w:bookmarkStart w:id="12" w:name="_heading=h.44sinio" w:colFirst="0" w:colLast="0"/>
      <w:bookmarkEnd w:id="12"/>
      <w:r>
        <w:rPr>
          <w:color w:val="000000"/>
          <w:sz w:val="24"/>
          <w:szCs w:val="24"/>
        </w:rPr>
        <w:t xml:space="preserve">En primera instancia, es importante resaltar las tendencias teóricas y epistemológicas que fundamentan este campo de estudio. Así en una perspectiva de Género en la participación escolar y Gobierno Escolar en la escuela, a nivel nacional, según lo encontrado es muy poco o casi nulo, aunque hay apuestas investigativas que institucionalmente han sido exaltadas y apoyadas por medio del del IDEP, donde se resalta que falta una apuesta que, por un lado, reflexione de manera </w:t>
      </w:r>
      <w:r>
        <w:rPr>
          <w:color w:val="000000"/>
          <w:sz w:val="24"/>
          <w:szCs w:val="24"/>
        </w:rPr>
        <w:lastRenderedPageBreak/>
        <w:t xml:space="preserve">amplia sobre los marcos de desigualdad de </w:t>
      </w:r>
      <w:r>
        <w:rPr>
          <w:sz w:val="24"/>
          <w:szCs w:val="24"/>
        </w:rPr>
        <w:t>G</w:t>
      </w:r>
      <w:r>
        <w:rPr>
          <w:color w:val="000000"/>
          <w:sz w:val="24"/>
          <w:szCs w:val="24"/>
        </w:rPr>
        <w:t xml:space="preserve">énero en la escuela y propiamente en los procesos de participación estudiantil en la escuela, y por otro en donde la institucionalidad apoye los procesos de investigación, de colectivos, de pedagogía sobre el </w:t>
      </w:r>
      <w:r>
        <w:rPr>
          <w:sz w:val="24"/>
          <w:szCs w:val="24"/>
        </w:rPr>
        <w:t>G</w:t>
      </w:r>
      <w:r>
        <w:rPr>
          <w:color w:val="000000"/>
          <w:sz w:val="24"/>
          <w:szCs w:val="24"/>
        </w:rPr>
        <w:t>énero en la participación estudiantil que van surgiendo lentamente y muchas veces se trabajan como propuestas independientes de maestras y maestros que impulsan estas miradas y reflexiones en sus respectivos colegios pero que no se logran extender a otros colegios y escenarios porque no tienen apoyos institucionales.</w:t>
      </w:r>
    </w:p>
    <w:p w14:paraId="5E68D1FA" w14:textId="77777777" w:rsidR="007550EF" w:rsidRDefault="00000000">
      <w:pPr>
        <w:pBdr>
          <w:top w:val="nil"/>
          <w:left w:val="nil"/>
          <w:bottom w:val="nil"/>
          <w:right w:val="nil"/>
          <w:between w:val="nil"/>
        </w:pBdr>
        <w:spacing w:before="280" w:after="280" w:line="360" w:lineRule="auto"/>
        <w:jc w:val="both"/>
        <w:rPr>
          <w:sz w:val="24"/>
          <w:szCs w:val="24"/>
        </w:rPr>
      </w:pPr>
      <w:bookmarkStart w:id="13" w:name="_heading=h.3rdcrjn" w:colFirst="0" w:colLast="0"/>
      <w:bookmarkEnd w:id="13"/>
      <w:r>
        <w:rPr>
          <w:color w:val="000000"/>
          <w:sz w:val="24"/>
          <w:szCs w:val="24"/>
        </w:rPr>
        <w:t xml:space="preserve">En la categoría de participación estudiantil esta revisión recoge la mirada de la participación como espacio de construcción de ciudadanía y de democracia aportados por estudiosos como Zuleta (2001) e investigaciones de Fumero (2010) García Rivera de Matheu (2012) y Ochoa (2021). Y otra mirada contraria de la participación escolar se encuentra en investigaciones de Cuy Ávila &amp; Medina Torres, 2019, Acosta &amp; Dávila, 2019 que aducen la necesidad de análisis respecto a la participación de los distintos agentes en el mismo, pues las y los estudiantes tienen dificultad para </w:t>
      </w:r>
      <w:r>
        <w:rPr>
          <w:sz w:val="24"/>
          <w:szCs w:val="24"/>
        </w:rPr>
        <w:t>apropiar su rol</w:t>
      </w:r>
      <w:r>
        <w:rPr>
          <w:color w:val="000000"/>
          <w:sz w:val="24"/>
          <w:szCs w:val="24"/>
        </w:rPr>
        <w:t xml:space="preserve"> como sujetos activos dentro de la democracia escolar y </w:t>
      </w:r>
      <w:r>
        <w:rPr>
          <w:sz w:val="24"/>
          <w:szCs w:val="24"/>
        </w:rPr>
        <w:t>se les es difícil</w:t>
      </w:r>
      <w:r>
        <w:rPr>
          <w:color w:val="000000"/>
          <w:sz w:val="24"/>
          <w:szCs w:val="24"/>
        </w:rPr>
        <w:t xml:space="preserve"> comprender y aplicar muchos de los marcos normativos a sus realidades para ejercer la participación política en la escuela. Que se fortalece según Quiceno, Rojas &amp; Hernández (2019)</w:t>
      </w:r>
      <w:r>
        <w:rPr>
          <w:sz w:val="24"/>
          <w:szCs w:val="24"/>
        </w:rPr>
        <w:t xml:space="preserve"> y</w:t>
      </w:r>
      <w:r>
        <w:rPr>
          <w:color w:val="000000"/>
          <w:sz w:val="24"/>
          <w:szCs w:val="24"/>
        </w:rPr>
        <w:t xml:space="preserve"> Téllez (2014) por la falta de formación en temas de participación, liderazgo escolar y de conocimientos en las normativas que sustentan estos procesos políticos a </w:t>
      </w:r>
      <w:r>
        <w:rPr>
          <w:sz w:val="24"/>
          <w:szCs w:val="24"/>
        </w:rPr>
        <w:t>lo</w:t>
      </w:r>
      <w:r>
        <w:rPr>
          <w:color w:val="000000"/>
          <w:sz w:val="24"/>
          <w:szCs w:val="24"/>
        </w:rPr>
        <w:t xml:space="preserve"> educativo, como </w:t>
      </w:r>
      <w:r>
        <w:rPr>
          <w:sz w:val="24"/>
          <w:szCs w:val="24"/>
        </w:rPr>
        <w:t>e</w:t>
      </w:r>
      <w:r>
        <w:rPr>
          <w:color w:val="000000"/>
          <w:sz w:val="24"/>
          <w:szCs w:val="24"/>
        </w:rPr>
        <w:t>l Gobierno Escolar, ocasionando que las y los estudiantes se distancien de estos procesos, los encuentren lejanos de sus necesidades, de sus realidades</w:t>
      </w:r>
      <w:r>
        <w:rPr>
          <w:sz w:val="24"/>
          <w:szCs w:val="24"/>
        </w:rPr>
        <w:t>.</w:t>
      </w:r>
    </w:p>
    <w:p w14:paraId="764C57BB" w14:textId="77777777" w:rsidR="007550EF" w:rsidRDefault="00000000">
      <w:pPr>
        <w:pBdr>
          <w:top w:val="nil"/>
          <w:left w:val="nil"/>
          <w:bottom w:val="nil"/>
          <w:right w:val="nil"/>
          <w:between w:val="nil"/>
        </w:pBdr>
        <w:spacing w:before="280" w:after="280" w:line="360" w:lineRule="auto"/>
        <w:jc w:val="both"/>
        <w:rPr>
          <w:color w:val="000000"/>
          <w:sz w:val="24"/>
          <w:szCs w:val="24"/>
        </w:rPr>
      </w:pPr>
      <w:bookmarkStart w:id="14" w:name="_heading=h.7rq08ekfmqpf" w:colFirst="0" w:colLast="0"/>
      <w:bookmarkEnd w:id="14"/>
      <w:r>
        <w:rPr>
          <w:color w:val="000000"/>
          <w:sz w:val="24"/>
          <w:szCs w:val="24"/>
        </w:rPr>
        <w:t xml:space="preserve">Aunque en esta revisión se encuentra un abordaje institucional gubernamental  que ha sido producido </w:t>
      </w:r>
      <w:r>
        <w:rPr>
          <w:sz w:val="24"/>
          <w:szCs w:val="24"/>
        </w:rPr>
        <w:t>pedagógicamente</w:t>
      </w:r>
      <w:r>
        <w:rPr>
          <w:color w:val="000000"/>
          <w:sz w:val="24"/>
          <w:szCs w:val="24"/>
        </w:rPr>
        <w:t xml:space="preserve"> en cartillas que trabajan el tema de la participación estudiantil no profundiza en un contenido reflexivo y </w:t>
      </w:r>
      <w:r>
        <w:rPr>
          <w:sz w:val="24"/>
          <w:szCs w:val="24"/>
        </w:rPr>
        <w:t>crítico</w:t>
      </w:r>
      <w:r>
        <w:rPr>
          <w:color w:val="000000"/>
          <w:sz w:val="24"/>
          <w:szCs w:val="24"/>
        </w:rPr>
        <w:t xml:space="preserve">, sino que da un tratamiento </w:t>
      </w:r>
      <w:r>
        <w:rPr>
          <w:sz w:val="24"/>
          <w:szCs w:val="24"/>
        </w:rPr>
        <w:t>básico</w:t>
      </w:r>
      <w:r>
        <w:rPr>
          <w:color w:val="000000"/>
          <w:sz w:val="24"/>
          <w:szCs w:val="24"/>
        </w:rPr>
        <w:t xml:space="preserve"> de los </w:t>
      </w:r>
      <w:r>
        <w:rPr>
          <w:sz w:val="24"/>
          <w:szCs w:val="24"/>
        </w:rPr>
        <w:t>términos</w:t>
      </w:r>
      <w:r>
        <w:rPr>
          <w:color w:val="000000"/>
          <w:sz w:val="24"/>
          <w:szCs w:val="24"/>
        </w:rPr>
        <w:t xml:space="preserve"> referidos a la participación estudiantil, y el Gobierno Estudiantil, haciendo uso de herramientas pedagógicas como las </w:t>
      </w:r>
      <w:r>
        <w:rPr>
          <w:sz w:val="24"/>
          <w:szCs w:val="24"/>
        </w:rPr>
        <w:t>líneas</w:t>
      </w:r>
      <w:r>
        <w:rPr>
          <w:color w:val="000000"/>
          <w:sz w:val="24"/>
          <w:szCs w:val="24"/>
        </w:rPr>
        <w:t xml:space="preserve"> de tiempo, el uso algunos ejemplos de experiencias de estudiantes que han estado en los cargos pero no hay una profundización de las implicancias </w:t>
      </w:r>
      <w:r>
        <w:rPr>
          <w:sz w:val="24"/>
          <w:szCs w:val="24"/>
        </w:rPr>
        <w:t>prácticas</w:t>
      </w:r>
      <w:r>
        <w:rPr>
          <w:color w:val="000000"/>
          <w:sz w:val="24"/>
          <w:szCs w:val="24"/>
        </w:rPr>
        <w:t xml:space="preserve">, de los retos y de la importancia que el Gobierno Escolar, y tampoco de las normativas conscientes a la participación estudiantil y Gobierno Escolar, aunque en algunas cartillas se haga la revisión </w:t>
      </w:r>
      <w:r>
        <w:rPr>
          <w:sz w:val="24"/>
          <w:szCs w:val="24"/>
        </w:rPr>
        <w:lastRenderedPageBreak/>
        <w:t>histórica</w:t>
      </w:r>
      <w:r>
        <w:rPr>
          <w:color w:val="000000"/>
          <w:sz w:val="24"/>
          <w:szCs w:val="24"/>
        </w:rPr>
        <w:t xml:space="preserve"> de las normativas con </w:t>
      </w:r>
      <w:r>
        <w:rPr>
          <w:sz w:val="24"/>
          <w:szCs w:val="24"/>
        </w:rPr>
        <w:t>líneas</w:t>
      </w:r>
      <w:r>
        <w:rPr>
          <w:color w:val="000000"/>
          <w:sz w:val="24"/>
          <w:szCs w:val="24"/>
        </w:rPr>
        <w:t xml:space="preserve"> de tiempo no hay una reflexión </w:t>
      </w:r>
      <w:r>
        <w:rPr>
          <w:sz w:val="24"/>
          <w:szCs w:val="24"/>
        </w:rPr>
        <w:t>histórica</w:t>
      </w:r>
      <w:r>
        <w:rPr>
          <w:color w:val="000000"/>
          <w:sz w:val="24"/>
          <w:szCs w:val="24"/>
        </w:rPr>
        <w:t xml:space="preserve"> aterrizada y </w:t>
      </w:r>
      <w:r>
        <w:rPr>
          <w:sz w:val="24"/>
          <w:szCs w:val="24"/>
        </w:rPr>
        <w:t>práctica</w:t>
      </w:r>
      <w:r>
        <w:rPr>
          <w:color w:val="000000"/>
          <w:sz w:val="24"/>
          <w:szCs w:val="24"/>
        </w:rPr>
        <w:t xml:space="preserve"> de estas en los contextos escolares.  En la categoría de liderazgo, si bien hay procesos investigativos que buscan fortalecer los procesos de liderazgo en las niñas y jóvenes como lo son (Girón 2021), Parra &amp; Figueroa (2016) Delgado (2016) Aguilar (2015) por citar algunos referenciados en esta revisión hacen énfasis en la necesidad del reconocimiento, socialización y apropiación de los procesos de liderazgos femeninos en las escuelas, pues lo que se encuentra es un acercamiento básico conceptual al Género desde instancias internacionales, pero no nacionales.  </w:t>
      </w:r>
    </w:p>
    <w:p w14:paraId="69CEA10F" w14:textId="77777777" w:rsidR="007550EF" w:rsidRDefault="00000000">
      <w:pPr>
        <w:pBdr>
          <w:top w:val="nil"/>
          <w:left w:val="nil"/>
          <w:bottom w:val="nil"/>
          <w:right w:val="nil"/>
          <w:between w:val="nil"/>
        </w:pBdr>
        <w:spacing w:before="280" w:after="280" w:line="360" w:lineRule="auto"/>
        <w:jc w:val="both"/>
        <w:rPr>
          <w:color w:val="000000"/>
          <w:sz w:val="24"/>
          <w:szCs w:val="24"/>
        </w:rPr>
      </w:pPr>
      <w:r>
        <w:rPr>
          <w:color w:val="000000"/>
          <w:sz w:val="24"/>
          <w:szCs w:val="24"/>
        </w:rPr>
        <w:t>Los proyectos anteriormente mencionados y los restantes referenciados en esta revisión han abierto el camino para pensar el liderazgo femenino en la instancia de participación estudiantil</w:t>
      </w:r>
      <w:r>
        <w:rPr>
          <w:sz w:val="24"/>
          <w:szCs w:val="24"/>
        </w:rPr>
        <w:t xml:space="preserve"> en</w:t>
      </w:r>
      <w:r>
        <w:rPr>
          <w:color w:val="000000"/>
          <w:sz w:val="24"/>
          <w:szCs w:val="24"/>
        </w:rPr>
        <w:t xml:space="preserve"> el Gobierno Escolar aún falta más producción y abordaje institucional al rol femenino en la participación estudiantil desde la instancia institucional. Estas investigaciones aducen la necesidad de fortalecer las escuelas de liderazgo como camino para repensar la cuestión de la igualdad de Género desde los procesos de liderazgo estudiantil. </w:t>
      </w:r>
    </w:p>
    <w:p w14:paraId="3705AD84" w14:textId="77777777" w:rsidR="007550EF" w:rsidRDefault="00000000">
      <w:pPr>
        <w:pBdr>
          <w:top w:val="nil"/>
          <w:left w:val="nil"/>
          <w:bottom w:val="nil"/>
          <w:right w:val="nil"/>
          <w:between w:val="nil"/>
        </w:pBdr>
        <w:spacing w:before="280" w:after="280" w:line="360" w:lineRule="auto"/>
        <w:jc w:val="both"/>
        <w:rPr>
          <w:color w:val="000000"/>
          <w:sz w:val="24"/>
          <w:szCs w:val="24"/>
        </w:rPr>
      </w:pPr>
      <w:r>
        <w:rPr>
          <w:color w:val="000000"/>
          <w:sz w:val="24"/>
          <w:szCs w:val="24"/>
        </w:rPr>
        <w:t xml:space="preserve">En cuanto a lo metodológico, se evidenció un fuerte interés por la realización de investigaciones de corte cualitativo, con herramientas de recolección de datos entre los más usados por las diversas investigaciones de esta </w:t>
      </w:r>
      <w:r>
        <w:rPr>
          <w:sz w:val="24"/>
          <w:szCs w:val="24"/>
        </w:rPr>
        <w:t>revisión</w:t>
      </w:r>
      <w:r>
        <w:rPr>
          <w:color w:val="000000"/>
          <w:sz w:val="24"/>
          <w:szCs w:val="24"/>
        </w:rPr>
        <w:t>: la entrevista, grupo focal, diarios de campo, historias de vida, y diseños de análisis documental y codificación y categorización usando Altas Ti.</w:t>
      </w:r>
    </w:p>
    <w:p w14:paraId="6FDE7E76" w14:textId="77777777" w:rsidR="007550EF" w:rsidRDefault="00000000">
      <w:pPr>
        <w:pBdr>
          <w:top w:val="nil"/>
          <w:left w:val="nil"/>
          <w:bottom w:val="nil"/>
          <w:right w:val="nil"/>
          <w:between w:val="nil"/>
        </w:pBdr>
        <w:spacing w:before="280" w:after="280" w:line="360" w:lineRule="auto"/>
        <w:jc w:val="both"/>
        <w:rPr>
          <w:color w:val="000000"/>
          <w:sz w:val="24"/>
          <w:szCs w:val="24"/>
        </w:rPr>
      </w:pPr>
      <w:r>
        <w:rPr>
          <w:color w:val="000000"/>
          <w:sz w:val="24"/>
          <w:szCs w:val="24"/>
        </w:rPr>
        <w:t xml:space="preserve">Por </w:t>
      </w:r>
      <w:r>
        <w:rPr>
          <w:sz w:val="24"/>
          <w:szCs w:val="24"/>
        </w:rPr>
        <w:t>último</w:t>
      </w:r>
      <w:r>
        <w:rPr>
          <w:color w:val="000000"/>
          <w:sz w:val="24"/>
          <w:szCs w:val="24"/>
        </w:rPr>
        <w:t>, esta re</w:t>
      </w:r>
      <w:r>
        <w:rPr>
          <w:sz w:val="24"/>
          <w:szCs w:val="24"/>
        </w:rPr>
        <w:t>visión documental realiza una</w:t>
      </w:r>
      <w:r>
        <w:rPr>
          <w:color w:val="000000"/>
          <w:sz w:val="24"/>
          <w:szCs w:val="24"/>
        </w:rPr>
        <w:t xml:space="preserve"> mirada, apuesta, y plantea una discusión sobre el </w:t>
      </w:r>
      <w:r>
        <w:rPr>
          <w:sz w:val="24"/>
          <w:szCs w:val="24"/>
        </w:rPr>
        <w:t>G</w:t>
      </w:r>
      <w:r>
        <w:rPr>
          <w:color w:val="000000"/>
          <w:sz w:val="24"/>
          <w:szCs w:val="24"/>
        </w:rPr>
        <w:t xml:space="preserve">énero en los procesos de participación estudiantil para </w:t>
      </w:r>
      <w:r>
        <w:rPr>
          <w:sz w:val="24"/>
          <w:szCs w:val="24"/>
        </w:rPr>
        <w:t>trascender</w:t>
      </w:r>
      <w:r>
        <w:rPr>
          <w:color w:val="000000"/>
          <w:sz w:val="24"/>
          <w:szCs w:val="24"/>
        </w:rPr>
        <w:t xml:space="preserve"> la esfera del área de </w:t>
      </w:r>
      <w:r>
        <w:rPr>
          <w:sz w:val="24"/>
          <w:szCs w:val="24"/>
        </w:rPr>
        <w:t>C</w:t>
      </w:r>
      <w:r>
        <w:rPr>
          <w:color w:val="000000"/>
          <w:sz w:val="24"/>
          <w:szCs w:val="24"/>
        </w:rPr>
        <w:t xml:space="preserve">iencias </w:t>
      </w:r>
      <w:r>
        <w:rPr>
          <w:sz w:val="24"/>
          <w:szCs w:val="24"/>
        </w:rPr>
        <w:t>S</w:t>
      </w:r>
      <w:r>
        <w:rPr>
          <w:color w:val="000000"/>
          <w:sz w:val="24"/>
          <w:szCs w:val="24"/>
        </w:rPr>
        <w:t xml:space="preserve">ociales y se pueda pensar cómo hacer para transformar las </w:t>
      </w:r>
      <w:r>
        <w:rPr>
          <w:sz w:val="24"/>
          <w:szCs w:val="24"/>
        </w:rPr>
        <w:t>prácticas</w:t>
      </w:r>
      <w:r>
        <w:rPr>
          <w:color w:val="000000"/>
          <w:sz w:val="24"/>
          <w:szCs w:val="24"/>
        </w:rPr>
        <w:t xml:space="preserve">, las construcciones y las miradas del Género desde toda comunidad educativa, claro se reconoce la importancia disciplinar que este tema tiene para el área de </w:t>
      </w:r>
      <w:r>
        <w:rPr>
          <w:sz w:val="24"/>
          <w:szCs w:val="24"/>
        </w:rPr>
        <w:t>C</w:t>
      </w:r>
      <w:r>
        <w:rPr>
          <w:color w:val="000000"/>
          <w:sz w:val="24"/>
          <w:szCs w:val="24"/>
        </w:rPr>
        <w:t xml:space="preserve">iencias </w:t>
      </w:r>
      <w:r>
        <w:rPr>
          <w:sz w:val="24"/>
          <w:szCs w:val="24"/>
        </w:rPr>
        <w:t>S</w:t>
      </w:r>
      <w:r>
        <w:rPr>
          <w:color w:val="000000"/>
          <w:sz w:val="24"/>
          <w:szCs w:val="24"/>
        </w:rPr>
        <w:t>ociales en los colegios pero la responsabilidad de la transformación social y política al interior de las escuelas pasa por una ayuda mutua y mancomunada de esfuerzos de todos actores de las comunidades educativas.</w:t>
      </w:r>
    </w:p>
    <w:p w14:paraId="45A66915" w14:textId="77777777" w:rsidR="007550EF" w:rsidRDefault="007550EF">
      <w:pPr>
        <w:spacing w:line="360" w:lineRule="auto"/>
        <w:jc w:val="both"/>
        <w:rPr>
          <w:b/>
          <w:sz w:val="24"/>
          <w:szCs w:val="24"/>
        </w:rPr>
      </w:pPr>
    </w:p>
    <w:p w14:paraId="1C1A19FB" w14:textId="77777777" w:rsidR="007550EF" w:rsidRDefault="007550EF">
      <w:pPr>
        <w:spacing w:after="0" w:line="360" w:lineRule="auto"/>
        <w:rPr>
          <w:sz w:val="24"/>
          <w:szCs w:val="24"/>
        </w:rPr>
      </w:pPr>
    </w:p>
    <w:p w14:paraId="3063735F" w14:textId="77777777" w:rsidR="007550EF" w:rsidRDefault="00000000">
      <w:pPr>
        <w:widowControl w:val="0"/>
        <w:pBdr>
          <w:top w:val="nil"/>
          <w:left w:val="nil"/>
          <w:bottom w:val="nil"/>
          <w:right w:val="nil"/>
          <w:between w:val="nil"/>
        </w:pBdr>
        <w:spacing w:after="240" w:line="360" w:lineRule="auto"/>
        <w:rPr>
          <w:b/>
          <w:color w:val="000000"/>
          <w:sz w:val="24"/>
          <w:szCs w:val="24"/>
        </w:rPr>
      </w:pPr>
      <w:r>
        <w:rPr>
          <w:b/>
          <w:color w:val="000000"/>
          <w:sz w:val="24"/>
          <w:szCs w:val="24"/>
        </w:rPr>
        <w:lastRenderedPageBreak/>
        <w:t>REFERENCIAS</w:t>
      </w:r>
    </w:p>
    <w:p w14:paraId="724DDE66"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Vommaro</w:t>
      </w:r>
      <w:proofErr w:type="spellEnd"/>
      <w:r>
        <w:rPr>
          <w:color w:val="000000"/>
          <w:sz w:val="24"/>
          <w:szCs w:val="24"/>
        </w:rPr>
        <w:t xml:space="preserve">, P., </w:t>
      </w:r>
      <w:proofErr w:type="spellStart"/>
      <w:r>
        <w:rPr>
          <w:color w:val="000000"/>
          <w:sz w:val="24"/>
          <w:szCs w:val="24"/>
        </w:rPr>
        <w:t>Cozachcow</w:t>
      </w:r>
      <w:proofErr w:type="spellEnd"/>
      <w:r>
        <w:rPr>
          <w:color w:val="000000"/>
          <w:sz w:val="24"/>
          <w:szCs w:val="24"/>
        </w:rPr>
        <w:t>, A., &amp; Núñez, P. (2022). Percepciones juveniles sobre la política: la participación en la escuela secundaria de la Ciudad de Buenos Aires, Argentina. Foro de Educación, XX (1), 64-87. Recuperado el Junio de 2023, de file:///C:/Users/User/Downloads/Dialnet-PercepcionesJuvenilesSobreLaPolitica-8570477.pdf</w:t>
      </w:r>
    </w:p>
    <w:p w14:paraId="3059D58F"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Acosta Bravo, S., &amp; Dávila Gómez, Y. (2019). PARTICIPACION ESTUDIANTIL Y CONVIVENCIA ESCOLAR: un reto para las Instituciones educativas. Bogotá: Universidad Pedagógica Nacional. Recuperado el Junio de 2023, de https://repository.cinde.org.co/bitstream/handle/20.500.11907/2551/PARTICIPACION%20Y%20CONVIVENCIA%20ESCOLAR%20un%20reto%20para%20las%20instituciones%20educativas.pdf?sequence=1&amp;isAllowed=y</w:t>
      </w:r>
    </w:p>
    <w:p w14:paraId="01629503"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Aguilar Caro, A. (Octubre de 2015). Representación femenina juvenil e intercultural en los espacios democráticos de la escuela. Estudio de caso: Departamento del Atlántico, en el Caribe colombiano. PROSPECTIVA (20), 325 - 349. Recuperado el junio de 2023, de https://revistaprospectiva.univalle.edu.co/index.php/prospectiva/article/view/945</w:t>
      </w:r>
    </w:p>
    <w:p w14:paraId="3DFB4132"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Alcaldía Mayor de Bogotá, Secretaría de Educación del Distrito - SED, Dirección de Participación, &amp; Sistema de Participación. (2013). A participar aprendo participando: gobierno escolar y sistema de participación escolar - CARTILLA. Bogotá. Recuperado el junio de 2023, de https://repositoriosed.educacionbogota.edu.co/handle/001/508</w:t>
      </w:r>
    </w:p>
    <w:p w14:paraId="6B010257"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Alvarado </w:t>
      </w:r>
      <w:proofErr w:type="spellStart"/>
      <w:r>
        <w:rPr>
          <w:color w:val="000000"/>
          <w:sz w:val="24"/>
          <w:szCs w:val="24"/>
        </w:rPr>
        <w:t>Pialejo</w:t>
      </w:r>
      <w:proofErr w:type="spellEnd"/>
      <w:r>
        <w:rPr>
          <w:color w:val="000000"/>
          <w:sz w:val="24"/>
          <w:szCs w:val="24"/>
        </w:rPr>
        <w:t xml:space="preserve"> , S. (2014). El gobierno escolar aventura democrática en la escuela: una propuesta de participación y formación en democracia para generar nuevos sujetos en el centro educativo Santa Martha. Pontificia Universidad Javeriana. Recuperado el Junio de 2023, de https://repository.javeriana.edu.co/bitstream/handle/10554/12277/AlvaradoPialejoSergioMaria2014.pdf?sequence=3&amp;isAllowed=y</w:t>
      </w:r>
    </w:p>
    <w:p w14:paraId="20C3AD7B"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Asprilla Cuesta, V. (2014). GOBIERNO ESCOLAR EN QUIBDÓ: UN ACERCAMIENTO A SU IMPLEMENTACIÓN DURANTE LOS AÑOS 2012 Y 2013. Quibdó, Colombia: UNIVERSIDAD EAFIT. Recuperado el Junio de 2023, de https://repository.eafit.edu.co/bitstream/handle/10784/5441/VisitacionAsprilla_2014.pdf?sequence=2&amp;isAllowed=y</w:t>
      </w:r>
    </w:p>
    <w:p w14:paraId="0DE3147D"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lastRenderedPageBreak/>
        <w:t>Balanta Mera, R., &amp; Obispo Salazar, K. (2022). Representaciones sociales de la identidad y los roles de género en adolescentes de una escuela secundaria de México. INTERDISCIPLINARIA, 151-166. Obtenido de http://www.ciipme-conicet.gov.ar/ojs/index.php?journal=interdisciplinaria&amp;page=article&amp;op=view&amp;path%5B%5D=823&amp;path%5B%5D=pdf</w:t>
      </w:r>
    </w:p>
    <w:p w14:paraId="5B95B9DA"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Belucci</w:t>
      </w:r>
      <w:proofErr w:type="spellEnd"/>
      <w:r>
        <w:rPr>
          <w:color w:val="000000"/>
          <w:sz w:val="24"/>
          <w:szCs w:val="24"/>
        </w:rPr>
        <w:t>, M. (1993). DE LOS ESTUDIOS DE LA MUJER A LOS ESTUDIOS DE GÉNERO: HAN RECORRIDO UN LARGO CAMINO... En A. Fernández, Las mujeres en la imaginación colectiva. Una historia de discriminación y resistencias. Recuperado el junio de 2023, de http://anamfernandez.com.ar/wp-content/uploads/2014/12/Libro-Completo-Las-mujeres-en-la-imaginaci%C3%B3n-colectiva.pdf</w:t>
      </w:r>
    </w:p>
    <w:p w14:paraId="1A07D41D"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Castillo Sánchez, M., &amp; Gamboa Araya, R. (junio de 2013). LA VINCULACIÓN DE LA EDUCACIÓN Y GÉNERO. Revista Electrónica "Actualidades Investigativas en Educación", XIII (1), 1 -16. Recuperado el 2023, de https://www.redalyc.org/pdf/447/44725654014.pdf</w:t>
      </w:r>
    </w:p>
    <w:p w14:paraId="39610FF0"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Colás</w:t>
      </w:r>
      <w:proofErr w:type="spellEnd"/>
      <w:r>
        <w:rPr>
          <w:color w:val="000000"/>
          <w:sz w:val="24"/>
          <w:szCs w:val="24"/>
        </w:rPr>
        <w:t xml:space="preserve"> Bravo, P., &amp; Jiménez Cortés, R. (2006). Tipos de conciencia de género del profesorado en los contextos escolares. Revista de Educación, 415- 444. Recuperado el junio de 2023, de https://idus.us.es/handle/11441/24639</w:t>
      </w:r>
    </w:p>
    <w:p w14:paraId="5BAD34E4"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Corchuelo</w:t>
      </w:r>
      <w:proofErr w:type="spellEnd"/>
      <w:r>
        <w:rPr>
          <w:color w:val="000000"/>
          <w:sz w:val="24"/>
          <w:szCs w:val="24"/>
        </w:rPr>
        <w:t xml:space="preserve"> Chavarro, D. (2020). ¡PARTICIPACIÓN ESTUDIANTIL, DESAPRENDER PARA APRENDER! NOCIONES DE PARTICIPACIÓN DE LOS NIÑOS, NIÑAS Y ADOLESCENTES. Bogotá: UNIVERSIDAD EXTERNADO DE COLOMBIA. Recuperado el Junio de 2023, de https://bdigital.uexternado.edu.co/server/api/core/bitstreams/a82a550a-19f2-4d5a-b07e-437155253aae/content</w:t>
      </w:r>
    </w:p>
    <w:p w14:paraId="1ED2EC57"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Corpas Figueroa, J., Parra Ordoñez de Valdés, G., Salcedo López, D., Torres Alvares, S., Piñeros, L., &amp; Bastidas Granja, P. (2015). CARTILLA #8 ESCUELA DE LIDERAZGO PARA NIÑAS Y MUJERES JÓVENES HERRAMIENTA PEDAGÓGICA PARA UNA EDUCACIÓN NO SEXISTA EN BOGOTÁ. Bogotá: ALCALDÍA MAYOR DE BOGOTÁ - SECRETARÍA DE EDUCACIÓN DEL DISTRITO SED. Recuperado el Junio de 2023, de https://repositoriosed.educacionbogota.edu.co/bitstream/handle/001/971/Cartilla%208.pdf?sequence=1&amp;isAllowed=y</w:t>
      </w:r>
    </w:p>
    <w:p w14:paraId="1CC19375"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Correa </w:t>
      </w:r>
      <w:proofErr w:type="spellStart"/>
      <w:r>
        <w:rPr>
          <w:color w:val="000000"/>
          <w:sz w:val="24"/>
          <w:szCs w:val="24"/>
        </w:rPr>
        <w:t>Cocunubo</w:t>
      </w:r>
      <w:proofErr w:type="spellEnd"/>
      <w:r>
        <w:rPr>
          <w:color w:val="000000"/>
          <w:sz w:val="24"/>
          <w:szCs w:val="24"/>
        </w:rPr>
        <w:t>, F. (2016). CULTURA POLÍTICA Y GOBIERNO ESCOLAR EN LAS INSTITUCIONES EDUCATIVAS OFICIALES DE LA COMUNA 1 DEL MUNICIPIO DE SOACHA. Bogotá: UNIVERSIDAD DISTRITAL FRANCISCO JOSÉ DE CALDAS. Recuperado el Junio de 2023, de https://repository.udistrital.edu.co/bitstream/handle/11349/2713/CorreaCocunuboFabioAugusto2016.pdf;jsessionid=B5D23EF76DCFAA716A57ACCEC4EBE9C1?sequence=1</w:t>
      </w:r>
    </w:p>
    <w:p w14:paraId="4942BEC7"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lastRenderedPageBreak/>
        <w:t xml:space="preserve">Cruz </w:t>
      </w:r>
      <w:proofErr w:type="spellStart"/>
      <w:r>
        <w:rPr>
          <w:color w:val="000000"/>
          <w:sz w:val="24"/>
          <w:szCs w:val="24"/>
        </w:rPr>
        <w:t>Cruz</w:t>
      </w:r>
      <w:proofErr w:type="spellEnd"/>
      <w:r>
        <w:rPr>
          <w:color w:val="000000"/>
          <w:sz w:val="24"/>
          <w:szCs w:val="24"/>
        </w:rPr>
        <w:t>, B. (2021). EL RECONOCIMIENTO Y LA PARTICIPACIÓN DE LAS ESTUDIANTES EN LA PROPUESTA COEDUCATIVA DEL COLEGIO MAYOR DE SAN BARTOLOMÉ (Tesis de maestría). Bogotá: Pontificia Universidad Javeriana. Recuperado el junio de 2023, de https://repository.javeriana.edu.co/bitstream/handle/10554/58150/Tesis%20Reconocimiento%20y%20Paticipaci%c3%b3n%20Femenina%20Billy%20Cruz%2c%20.pdf?sequence=2&amp;isAllowed=y</w:t>
      </w:r>
    </w:p>
    <w:p w14:paraId="209DB8E1"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Cubides C, H. (2001). Gobierno escolar: cultura y conflicto político en la escuela. Revista Nómadas, 09 - 23. Recuperado el Mayo de 2023, de https://nomadas.ucentral.edu.co/nomadas/pdf/nomadas_15/15_1C_Gobiernoescolar.PDF</w:t>
      </w:r>
    </w:p>
    <w:p w14:paraId="5DCA4862"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Cuy Ávila, M., &amp; Medina Torres, G. (2019). HACIA UNA RESIGNIFICACIÓN DEL GOBIERNO ESCOLAR: UNA ESTRATEGIA DESDE LA CONSTRUCCIÓN DE CIUDADANÍA, LA DEMOCRACIA Y LA COHESIÓN SOCIAL (Tesis de maestría). UNIVERSIDAD SANTO TOMAS. Obtenido de https://repository.usta.edu.co/bitstream/handle/11634/19927/2019marthacuy.pdf?sequence=1</w:t>
      </w:r>
    </w:p>
    <w:p w14:paraId="3447BDBB"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Delgado Fernández, M. (2016). GÉNERO Y PARTICIPACIÓN EN EL GOBIERNO ESCOLAR DE LAS Y LOS ESTUDIANTES DE LOS GRADOS 10 Y 11 DE LA INSTITUCIÓN EDUCATIVA LA MERCED DEL MUNICIPIO DE MOSQUERA. Bogotá, Colombia: UNIVERSIDAD PEDAGÓGICA NACIONAL - FACULTAD DE EDUCACIÓN. Obtenido de http://repository.pedagogica.edu.co/bitstream/handle/20.500.12209/1002/TO-19919.pdf?sequence=1&amp;isAllowed=y</w:t>
      </w:r>
    </w:p>
    <w:p w14:paraId="3F467883"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Diaz Blanco, (2010) EQUIDAD Con respeto y con amor, todo en la vida es mejor. Repositorio IDEP </w:t>
      </w:r>
    </w:p>
    <w:p w14:paraId="0D8A21AB"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Follegati</w:t>
      </w:r>
      <w:proofErr w:type="spellEnd"/>
      <w:r>
        <w:rPr>
          <w:color w:val="000000"/>
          <w:sz w:val="24"/>
          <w:szCs w:val="24"/>
        </w:rPr>
        <w:t>, L., Matus, C., &amp; Errázuriz, V. (2022). Tensiones en la escuela: educación para las niñas bajo la impronta neoliberal. Revista de Humanidades de Valparaíso (19), 349-375. Recuperado el junio de 2023, de https://www.scielo.cl/pdf/rhv/n19/0719-4242-rhv-19-349.pdf</w:t>
      </w:r>
    </w:p>
    <w:p w14:paraId="073A5C11"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Fumero, P. (2010). Desigualdades, ciudadanía e identidad: los jóvenes como categoría de análisis para la historia de Centroamérica. Cuadernos Intercambio sobre Centroamérica y el Caribe, 149 - 159. Obtenido de https://www.redalyc.org/pdf/4769/476948770008.pdf</w:t>
      </w:r>
    </w:p>
    <w:p w14:paraId="64EA9B77"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García Pérez, R., Quiñones Delgado, C., &amp; Espigares Pinazo, M. (2013). LA ORGANIZACIÓN ESCOLAR COEDUCATIVA. INDICADORES DE GÉNERO Y COLABORACIÓN DE LOS CENTROS EN PLANES DE IGUALDAD. Profesorado. Revista de Currículum y Formación de Profesorado, XVII </w:t>
      </w:r>
      <w:r>
        <w:rPr>
          <w:color w:val="000000"/>
          <w:sz w:val="24"/>
          <w:szCs w:val="24"/>
        </w:rPr>
        <w:lastRenderedPageBreak/>
        <w:t>(1), 141-160. Recuperado el junio de 2023, de https://www.redalyc.org/articulo.oa?id=56726350011</w:t>
      </w:r>
    </w:p>
    <w:p w14:paraId="175B1347"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García Rivera de Matheu, G. (Noviembre de 2012). La Funcionalidad del Programa de Gobierno Escolar como Plataforma de Autoformación Democrática y Desarrollo de Habilidades y Destrezas. Guatemala: Universidad de San Carlos de Guatemala. Recuperado el Junio de 2023, de https://core.ac.uk/download/pdf/35291925.pdf</w:t>
      </w:r>
    </w:p>
    <w:p w14:paraId="1BFF459D"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García Suárez, C. (2004). HACERSE MUJERES, HACERSE HOMBRES: Dispositivos pedagógicos de género. Capítulo IV. Imaginarios de Género. Siglo del Hombre Editores, Universidad Central.</w:t>
      </w:r>
    </w:p>
    <w:p w14:paraId="2B1E6211"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García Villanueva, J., Becerril Iturriaga, A., &amp; Hernández Ramírez, C. (2019). Alumnas tranquilas: una categoría social para analizar la participación de las estudiantes en la escuela desde un enfoque de género. Revista de Estudios y Experiencias en Educación, XVIII (38), 41 - 54. Recuperado el Junio de 2023, de https://pdfs.semanticscholar.org/2a3f/754301d2f320b6aeac4686e52bb55b03b27d.pdf</w:t>
      </w:r>
    </w:p>
    <w:p w14:paraId="47A4EB56"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Gil Hernández, F., &amp; Pérez-Bustos, T. (s.f.). Feminismos y estudios de género en Colombia. Escuela de Género UNAL. Recuperado el junio de 2023, de http://www.codajic.org/sites/default/files/sites/www.codajic.org/files/Feminismo%20y%20Estudios%20de%20G%C3%A9nero%20en%20Colombia.pdf</w:t>
      </w:r>
    </w:p>
    <w:p w14:paraId="1CE50ED2"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Girón Hurtado, R. (2021). Empoderamiento político femenino en la escuela: Participación política de la mujer en los procesos de gobierno escolar de la institución educativa Los Uvos, municipio de la Vega, Bogotá: La Corporación Universitaria Minuto de Dios - UNIMINUTO. Obtenido de https://repository.uniminuto.edu/bitstream/10656/14052/2/TM.ED_Gir%c3%b3nHurtadoRoxsanaMaryoli_2021</w:t>
      </w:r>
    </w:p>
    <w:p w14:paraId="1A765A32"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Gutiérrez Silva, J. (2020). Gobierno Escolar y formación de subjetividad política. El caso de la IED La Toscana Lisboa. Bogotá. Recuperado el Junio de 2023, de https://repository.javeriana.edu.co/bitstream/handle/10554/49995/Tesis%20de%20Maestria%20Jaime%20Gutierrez.pdf?sequence=1&amp;isAllowed=y</w:t>
      </w:r>
    </w:p>
    <w:p w14:paraId="496EE3B7"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Jara Ibarra, C., Sánchez Bachmann, M., Cox, C., &amp; Montecinos, M. (2021). SOCIALIZACIÓN POLÍTICA Y FORMACIÓN CIUDADANA EN EL CONTEXTO ESCOLAR CHILENO: UN ANÁLISIS DESDE EL ENFOQUE. CALIDAD EN LA EDUCACIÓN (54), 75 -106. Obtenido de https://www.scielo.cl/pdf/caledu/n54/0718-4565-caledu-54-73.pdf</w:t>
      </w:r>
    </w:p>
    <w:p w14:paraId="3E22BC1F"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lastRenderedPageBreak/>
        <w:t>Lamas, M. (2006). Lamas, M. (2006). Género: Algunas precisiones conceptuales y teóricas. En M. Lamas, Lamas, M. (2006). Género: Algunas precisiones conceptuales y teóricas. En Feminismo. Transmisiones y retransmisiones. Taurus. Recuperado el junio de 2023, de https://redmujeresjusticia.org.ar/wp-content/uploads/2019/03/Ge%CC%81nero-algunas-precisiones-conceptuales-y-teo%CC%81ricas-Lamas.pdf</w:t>
      </w:r>
    </w:p>
    <w:p w14:paraId="5597C687"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Leiva Olivencia, J., &amp; Pedrero García, E. (2014). MUJERES INMIGRANTES EN EL ESCENARIO ESCOLAR: VISIBILIDAD Y PARTICIPACIÓN PARA LA IGUALDAD DE GÉNERO DESDE UNA PERSPECTIVA INCLUSIVA E INTERCULTURAL. Aportaciones a la Investigación sobre Mujeres y Género, 978 - 996. Obtenido de https://idus.us.es/bitstream/handle/11441/41013/Pages%20from%20Investigacion_Genero_14-2-10.pdf?sequence=1&amp;isAllowed=y</w:t>
      </w:r>
    </w:p>
    <w:p w14:paraId="3AA81E02"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Luzuriaga Uribe, E., Ríos- Rivera, I., &amp; Chiriboga, V. (2022). Una aproximación al género desde las relecturas de Butler y Connell en los liderazgos políticos femeninos. Revista Científica de Información y Comunicación (19), 51 - 81. Recuperado el junio de 2023, de https://idus.us.es/bitstream/handle/11441/141290/712-Versi%c3%b3n%20an%c3%b3nima-2894-1-10-20221229.pdf?sequence=1&amp;isAllowed=y</w:t>
      </w:r>
    </w:p>
    <w:p w14:paraId="5E93FAF5"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Martínez López de Castro, R. (2018). Cultura Organizacional en la Escuela Municipal de Artes y Oficios de Vigo: Un enfoque micro político. Barcelona - España: Facultad de Bellas Artes - Universidad de Barcelona. Recuperado el Junio de 2023, de https://www.tesisenred.net/handle/10803/586377#page=2</w:t>
      </w:r>
    </w:p>
    <w:p w14:paraId="6E0F66BD"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Misión de Observación Electoral – MOE. (2019). Elecciones del Gobierno Escolar. Bogotá. Recuperado el Junio de 2023, de https://www.moe.org.co/wp-content/uploads/2019/05/Cartilla-Elecciones-Gobierno-Escolar_Digital.pdf</w:t>
      </w:r>
    </w:p>
    <w:p w14:paraId="5FE5436A"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Montenegro González, C., Andrade Benavides, D., &amp; Barrientos Saavedra, P. (2021). Derechos humanos y perspectiva de género en la escuela: ideas para la transformación desde una epistemología feminista. En I. Silva-Peña, M. Oliva, </w:t>
      </w:r>
      <w:proofErr w:type="spellStart"/>
      <w:r>
        <w:rPr>
          <w:color w:val="000000"/>
          <w:sz w:val="24"/>
          <w:szCs w:val="24"/>
        </w:rPr>
        <w:t>Ó</w:t>
      </w:r>
      <w:proofErr w:type="spellEnd"/>
      <w:r>
        <w:rPr>
          <w:color w:val="000000"/>
          <w:sz w:val="24"/>
          <w:szCs w:val="24"/>
        </w:rPr>
        <w:t>. Espinoza, &amp; E. Santa Cruz, ESTALLIDO SOCIAL EN CHILE: Lecturas sobre discriminación y la desigualdad educativa. (págs. 79 - 95). Santiago - Chile: Ediciones Universidad Tecnológica Metropolitana. Recuperado el julio de 2023, de https://www.researchgate.net/publication/353160355_Derechos_humanos_y_perspectiva_de_genero_en_la_escuela_ideas_para_la_transformacion_desde_una_epistemologia_feminista</w:t>
      </w:r>
    </w:p>
    <w:p w14:paraId="795822C7"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lastRenderedPageBreak/>
        <w:t>Mora Cañas, F. (2017). SEXO, GÉNERO Y PEDAGOGÍA SEXO, GÉNERO Y PEDAGOGÍA EN CICLO IV DEL COLEGIO JUAN REY IED, SAN CRISTOBAL SUR, BOGOTÁ (tesis de maestría). Universidad Nacional de Colombia. Recuperado el junio de 2023, de https://repositorio.unal.edu.co/bitstream/handle/unal/63549/52157278.2018.pdf?sequence=1&amp;isAllowed=y</w:t>
      </w:r>
    </w:p>
    <w:p w14:paraId="453B345D"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Moreno Valencia, T. (2021). Gobierno estudiantil: un espacio para la participación en la vida democrática escolar en la Sede Educativa Francisco José de Caldas. Bogotá: Fundación Universitaria Los Libertadores - Facultad de Ciencias Humanas y Sociales. Recuperado el Junio de 2023, de https://repository.libertadores.edu.co/bitstream/handle/11371/3831/Moreno_Tatiana_2021.pdf?sequence=2</w:t>
      </w:r>
    </w:p>
    <w:p w14:paraId="0B54A83C" w14:textId="77777777" w:rsidR="007550EF" w:rsidRPr="00FD76E3" w:rsidRDefault="00000000">
      <w:pPr>
        <w:pBdr>
          <w:top w:val="nil"/>
          <w:left w:val="nil"/>
          <w:bottom w:val="nil"/>
          <w:right w:val="nil"/>
          <w:between w:val="nil"/>
        </w:pBdr>
        <w:spacing w:before="280" w:after="280" w:line="276" w:lineRule="auto"/>
        <w:ind w:left="480" w:hanging="480"/>
        <w:jc w:val="both"/>
        <w:rPr>
          <w:color w:val="000000"/>
          <w:sz w:val="24"/>
          <w:szCs w:val="24"/>
          <w:lang w:val="en-US"/>
        </w:rPr>
      </w:pPr>
      <w:proofErr w:type="spellStart"/>
      <w:r w:rsidRPr="00FD76E3">
        <w:rPr>
          <w:color w:val="000000"/>
          <w:sz w:val="24"/>
          <w:szCs w:val="24"/>
          <w:lang w:val="en-US"/>
        </w:rPr>
        <w:t>Msila</w:t>
      </w:r>
      <w:proofErr w:type="spellEnd"/>
      <w:r w:rsidRPr="00FD76E3">
        <w:rPr>
          <w:color w:val="000000"/>
          <w:sz w:val="24"/>
          <w:szCs w:val="24"/>
          <w:lang w:val="en-US"/>
        </w:rPr>
        <w:t xml:space="preserve">, V. (2022). Black Women School Leaders: Building Effective Schools Against the Odds. Multidisciplinary Journal of Gender Studies, </w:t>
      </w:r>
      <w:proofErr w:type="gramStart"/>
      <w:r w:rsidRPr="00FD76E3">
        <w:rPr>
          <w:color w:val="000000"/>
          <w:sz w:val="24"/>
          <w:szCs w:val="24"/>
          <w:lang w:val="en-US"/>
        </w:rPr>
        <w:t>XI(</w:t>
      </w:r>
      <w:proofErr w:type="gramEnd"/>
      <w:r w:rsidRPr="00FD76E3">
        <w:rPr>
          <w:color w:val="000000"/>
          <w:sz w:val="24"/>
          <w:szCs w:val="24"/>
          <w:lang w:val="en-US"/>
        </w:rPr>
        <w:t xml:space="preserve">1), 1 - 23. </w:t>
      </w:r>
      <w:proofErr w:type="spellStart"/>
      <w:r w:rsidRPr="00FD76E3">
        <w:rPr>
          <w:color w:val="000000"/>
          <w:sz w:val="24"/>
          <w:szCs w:val="24"/>
          <w:lang w:val="en-US"/>
        </w:rPr>
        <w:t>Recuperado</w:t>
      </w:r>
      <w:proofErr w:type="spellEnd"/>
      <w:r w:rsidRPr="00FD76E3">
        <w:rPr>
          <w:color w:val="000000"/>
          <w:sz w:val="24"/>
          <w:szCs w:val="24"/>
          <w:lang w:val="en-US"/>
        </w:rPr>
        <w:t xml:space="preserve"> </w:t>
      </w:r>
      <w:proofErr w:type="spellStart"/>
      <w:r w:rsidRPr="00FD76E3">
        <w:rPr>
          <w:color w:val="000000"/>
          <w:sz w:val="24"/>
          <w:szCs w:val="24"/>
          <w:lang w:val="en-US"/>
        </w:rPr>
        <w:t>el</w:t>
      </w:r>
      <w:proofErr w:type="spellEnd"/>
      <w:r w:rsidRPr="00FD76E3">
        <w:rPr>
          <w:color w:val="000000"/>
          <w:sz w:val="24"/>
          <w:szCs w:val="24"/>
          <w:lang w:val="en-US"/>
        </w:rPr>
        <w:t xml:space="preserve"> Junio de 2023, de file:///C:/Users/User/Downloads/Dialnet-BlackWomenSchoolLeaders-8342007.pdf</w:t>
      </w:r>
    </w:p>
    <w:p w14:paraId="49C6AE1C"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Nacional, M. -M. (Febrero de 2018). ¿Qué es el Gobierno Escolar en Colombia? Recuperado el junio de 2023, de https://www.compartirpalabramaestra.org/recursos/infografias/que-es-el-gobierno-escolar-en-colombia</w:t>
      </w:r>
    </w:p>
    <w:p w14:paraId="6612375E"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Navarrete Garzón, A., Páez Salamanca, A., Sánchez Patiño, E., &amp; Silva </w:t>
      </w:r>
      <w:proofErr w:type="spellStart"/>
      <w:r>
        <w:rPr>
          <w:color w:val="000000"/>
          <w:sz w:val="24"/>
          <w:szCs w:val="24"/>
        </w:rPr>
        <w:t>Quitián</w:t>
      </w:r>
      <w:proofErr w:type="spellEnd"/>
      <w:r>
        <w:rPr>
          <w:color w:val="000000"/>
          <w:sz w:val="24"/>
          <w:szCs w:val="24"/>
        </w:rPr>
        <w:t>, A. (2018). MÁS ALLÁ DE LA MIRADA DE UNA MUJER: UNA POSIBILIDAD DE TRANSFORMACIÓN DE LOS CONTEXTOS ESCOLARES (Tesis de maestría). Pontificia Universidad Javeriana. Recuperado el junio de 2023, de https://repository.javeriana.edu.co/bitstream/handle/10554/35080/30052018%20Tesis%20terminada.pdf?sequence=3&amp;isAllowed=y</w:t>
      </w:r>
    </w:p>
    <w:p w14:paraId="63E31120"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Ñañez</w:t>
      </w:r>
      <w:proofErr w:type="spellEnd"/>
      <w:r>
        <w:rPr>
          <w:color w:val="000000"/>
          <w:sz w:val="24"/>
          <w:szCs w:val="24"/>
        </w:rPr>
        <w:t xml:space="preserve"> Rodríguez, J., &amp; </w:t>
      </w:r>
      <w:proofErr w:type="spellStart"/>
      <w:r>
        <w:rPr>
          <w:color w:val="000000"/>
          <w:sz w:val="24"/>
          <w:szCs w:val="24"/>
        </w:rPr>
        <w:t>Capera</w:t>
      </w:r>
      <w:proofErr w:type="spellEnd"/>
      <w:r>
        <w:rPr>
          <w:color w:val="000000"/>
          <w:sz w:val="24"/>
          <w:szCs w:val="24"/>
        </w:rPr>
        <w:t xml:space="preserve"> Figueroa, J. (2017). Participación política y gobierno escolar en las instituciones educativas de Ibagué. Espacios Públicos, XX (48), 151 - 171. Obtenido de https://www.redalyc.org/journal/676/67652755008/html/</w:t>
      </w:r>
    </w:p>
    <w:p w14:paraId="1914DBC2"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Ochoa-Cervantes, A. (2021). Escuchar a la infancia, la consulta infantil como mecanismo de participación para las niñas y los niños en el contexto escolar. Revista Electrónica Educare, XXV (1), 1-18. Recuperado el Junio de 2023, de https://www.scielo.sa.cr/pdf/ree/v25n1/1409-4258-ree-25-01-125.pdf</w:t>
      </w:r>
    </w:p>
    <w:p w14:paraId="503F60DE"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Parra Ordoñez de Valdés, G., &amp; Corpas Figueroa, J. (2016). Escuela de liderazgo para niñas y mujeres jóvenes en el sector educativo: una apuesta política para la construcción de paz. </w:t>
      </w:r>
      <w:r>
        <w:rPr>
          <w:color w:val="000000"/>
          <w:sz w:val="24"/>
          <w:szCs w:val="24"/>
        </w:rPr>
        <w:lastRenderedPageBreak/>
        <w:t>Educación y Ciudad – IDEP (31), 83 - 93. Recuperado el junio de 2023, de https://revistas.idep.edu.co/index.php/educacion-y-ciudad/article/view/1611/1591</w:t>
      </w:r>
    </w:p>
    <w:p w14:paraId="2A73F1C0"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Pérez Galván, L., &amp; Ochoa Cervantes, A. (2017). La participación de los estudiantes en una escuela secundaria: retos y posibilidades para la formación ciudadana. Revista mexicana de investigación educativa, 22(72), 179 - 207. Recuperado el junio de 2023, de https://www.scielo.org.mx/pdf/rmie/v22n72/1405-6666-rmie-22-72-00179.pdf</w:t>
      </w:r>
    </w:p>
    <w:p w14:paraId="3D0E2911"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Personería Distrital de Bogotá, Veeduría Distrital de Bogotá, &amp; Instituto para la Participación y Acción Comunal, I. (2020). GUÍA 1. DE JÓVENES PARA JÓVENES SISTEMA DE PARTICIPACIÓN ESTUDIANTIL: Personerías, contralorías, cabildantes y consejerías: antes, durante y después del ejercicio de los cargos. Recuperado el Junio de 2023, de https://repositoriosed.educacionbogota.edu.co/bitstream/handle/001/3505/2_Gu%C3%ADa%20de%20j%C3%B3venes%20para%20j%C3%B3venes%20Sistema%20de%20Participaci%C3%B3n%20Estudiantil.pdf?sequence=1&amp;isAllowed=y</w:t>
      </w:r>
    </w:p>
    <w:p w14:paraId="634A549B"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Puerto Guerrero, A., &amp; Tovar Roa, R. (2014). ESCUELA Y PARTICIPACION. Revista Salud Historia Sanidad, IX(2), 199 - 216. Recuperado el Junio de 2023, de https://agenf.org/ojs/index.php/shs/article/view/213/202</w:t>
      </w:r>
    </w:p>
    <w:p w14:paraId="359C9992"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Quiceno Botero, F., Rojas Betancur, H., &amp; Hernández </w:t>
      </w:r>
      <w:proofErr w:type="spellStart"/>
      <w:r>
        <w:rPr>
          <w:color w:val="000000"/>
          <w:sz w:val="24"/>
          <w:szCs w:val="24"/>
        </w:rPr>
        <w:t>Quirama</w:t>
      </w:r>
      <w:proofErr w:type="spellEnd"/>
      <w:r>
        <w:rPr>
          <w:color w:val="000000"/>
          <w:sz w:val="24"/>
          <w:szCs w:val="24"/>
        </w:rPr>
        <w:t>, A. (2019). Deformación de la participación y la democracia en la elección de los personeros estudiantiles. Logos Ciencia &amp; Tecnología, XI ( 2), 1 -14. Recuperado el Junio de 2023, de https://www.redalyc.org/journal/5177/517764671006/517764671006.pdf</w:t>
      </w:r>
    </w:p>
    <w:p w14:paraId="53BC5905"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Quiñones, J., &amp; Tavera Londoño, D. (2021). EL GOBIERNO ESCOLAR: ¿UN ESCENARIO DE PARTICIPACIÓN ESTUDIANTIL? Societas.</w:t>
      </w:r>
    </w:p>
    <w:p w14:paraId="7BAFECA1"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Rojas Peña, J. (2019). Educación para la ciudadanía y la convivencia, gobierno escolar y participación en procesos democráticos. El caso del colegio Rosario Campestre Norte, años 2017-2018. Pontificia Universidad Javeriana. Recuperado el Junio de 2023, de https://repository.javeriana.edu.co/bitstream/handle/10554/46856/MONOGRAF%c3%8dA%20JHON%20FREDY%20ROJAS%20PE%c3%91A.pdf?sequence=2&amp;isAllowed=y</w:t>
      </w:r>
    </w:p>
    <w:p w14:paraId="2715D832"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SECRETARÍA DE EDUCACIÓN DEL DISTRITO - SED, Instituto Distrital de Participación y Acción </w:t>
      </w:r>
      <w:proofErr w:type="spellStart"/>
      <w:r>
        <w:rPr>
          <w:color w:val="000000"/>
          <w:sz w:val="24"/>
          <w:szCs w:val="24"/>
        </w:rPr>
        <w:t>Com</w:t>
      </w:r>
      <w:proofErr w:type="spellEnd"/>
      <w:r>
        <w:rPr>
          <w:color w:val="000000"/>
          <w:sz w:val="24"/>
          <w:szCs w:val="24"/>
        </w:rPr>
        <w:t>, I., &amp; Escuela Galán para el desarrollo de la democracia. (Noviembre de 2009). Escuela de Participación Juvenil. Bogotá. Recuperado el Junio de 2023, de https://repositoriosed.educacionbogota.edu.co/bitstream/handle/001/1004/moduloavanzadodigital.pdf?sequence=1</w:t>
      </w:r>
    </w:p>
    <w:p w14:paraId="0C13CBD0"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lastRenderedPageBreak/>
        <w:t>SED - Secretaria de Educación de Bogotá. (2019). GOBIERNO ESCOLAR. Bogotá. Obtenido de https://www.educacionbogota.edu.co/gestion-educativa/gobierno-escolar</w:t>
      </w:r>
    </w:p>
    <w:p w14:paraId="6E7E8F46"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Téllez Ruíz, H. (2014). MICROPOLITICA ESCOLAR Y FORMACIÓN CIUDADANA EN LA CONFORMACIÓN DEL GOBIERNO ESCOLAR A TRAVÉS DEL PROCESO DE ELECCIÓN DEL PERSONERO ESTUDIANTIL, LA EXPERIENCIA DE UNA INSTITUCIÓN EDUCATIVA DISTRITAL. Bogotá: UNIVERSIDAD PEDAGÓGICA NACIONAL. Recuperado el Junio de 2023, de https://repositoriosed.educacionbogota.edu.co/bitstream/handle/001/3349/Tesis%20Heriberto%20Tellez.pdf?sequence=1&amp;isAllowed=y</w:t>
      </w:r>
    </w:p>
    <w:p w14:paraId="084B70C9"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Tomé G &amp; Rambla (2001) Contra el sexismo coeducación y democracia en la escuela. Cap. 2 y 8. Madrid: Síntesis. </w:t>
      </w:r>
    </w:p>
    <w:p w14:paraId="51328857"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UNGEI &amp; UNICEF. (Noviembre de 2021). EDUCACIÓN TRANSFORMADORA DE GÉNERO: Re imaginar la educación para un mundo más justo e inclusivo - CARTILLA. Recuperado el Junio de 2023, de https://www.unicef.org/media/123676/file/EDUCACI%C3%93N%20TRANSFORMADORA%20DE%20G%C3%89NERO.pdf</w:t>
      </w:r>
    </w:p>
    <w:p w14:paraId="1AA549B9"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Valdivieso, M. (2009). Globalización, género y patrón de poder. En A. Girón, Género y globalización. Consejo Latinoamericano de Ciencias Sociales - CLACSO. Recuperado el junio de 2023, de http://biblioteca.clacso.edu.ar/ar/libros/grupos/giron/GyG.pdf</w:t>
      </w:r>
    </w:p>
    <w:p w14:paraId="520A090F"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Valencia Barrero., D. (2018). Representaciones sociales de la participación política en estudiantes de séptimo del Colegio Marruecos y Molinos. Bogotá: Universidad Distrital Francisco José De Caldas - Facultad de Ciencias y Educación. Recuperado el Junio de 2023, de https://repository.udistrital.edu.co/bitstream/handle/11349/13012/ValenciaBarreroDanielFernando2018.pdf?sequence=1&amp;isAllowed=y</w:t>
      </w:r>
    </w:p>
    <w:p w14:paraId="660A6FE5" w14:textId="77777777" w:rsidR="007550EF"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Viáfara</w:t>
      </w:r>
      <w:proofErr w:type="spellEnd"/>
      <w:r>
        <w:rPr>
          <w:color w:val="000000"/>
          <w:sz w:val="24"/>
          <w:szCs w:val="24"/>
        </w:rPr>
        <w:t xml:space="preserve"> Zapata, M., &amp; Solarte Bastidas, M. (Octubre de 2015). PARTICIPACIÓN DE LOS ESTUDIANTES EN EL GOBIERNO ESCOLAR LICEO LOS ANDES, BUGA, 2014- 2015. Santiago de Cali, Colombia: Pontificia Universidad Javeriana. Recuperado el Junio de 2023, de https://docplayer.es/47138337-Participacion-de-los-estudiantes-en-el-gobierno-escolar-liceo-los-andes-buga-autores-maria-yenny-viafara-zapata.html</w:t>
      </w:r>
    </w:p>
    <w:p w14:paraId="3973902A" w14:textId="77777777" w:rsidR="007550EF" w:rsidRDefault="00000000">
      <w:pPr>
        <w:pBdr>
          <w:top w:val="nil"/>
          <w:left w:val="nil"/>
          <w:bottom w:val="nil"/>
          <w:right w:val="nil"/>
          <w:between w:val="nil"/>
        </w:pBdr>
        <w:spacing w:before="280" w:line="276" w:lineRule="auto"/>
        <w:ind w:left="480" w:hanging="480"/>
        <w:jc w:val="both"/>
        <w:rPr>
          <w:b/>
          <w:color w:val="000000"/>
          <w:sz w:val="24"/>
          <w:szCs w:val="24"/>
        </w:rPr>
      </w:pPr>
      <w:r>
        <w:rPr>
          <w:color w:val="000000"/>
          <w:sz w:val="24"/>
          <w:szCs w:val="24"/>
        </w:rPr>
        <w:t>Zuleta, E. (2001). La participación democrática y su relación con la educación. Polis: Revista de la Universidad Bolivariana, I (2), 1- 6. Recuperado el junio de 2023, de https://www.redalyc.org/pdf/305/30500228.pdf</w:t>
      </w:r>
    </w:p>
    <w:sectPr w:rsidR="007550EF">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A1C82" w14:textId="77777777" w:rsidR="0024127E" w:rsidRDefault="0024127E">
      <w:pPr>
        <w:spacing w:after="0" w:line="240" w:lineRule="auto"/>
      </w:pPr>
      <w:r>
        <w:separator/>
      </w:r>
    </w:p>
  </w:endnote>
  <w:endnote w:type="continuationSeparator" w:id="0">
    <w:p w14:paraId="425A73C8" w14:textId="77777777" w:rsidR="0024127E" w:rsidRDefault="00241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F4010" w14:textId="2E6D0E67" w:rsidR="007550EF" w:rsidRDefault="00FD76E3">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2336" behindDoc="0" locked="0" layoutInCell="1" hidden="0" allowOverlap="1" wp14:anchorId="6021C60C" wp14:editId="49988F79">
          <wp:simplePos x="0" y="0"/>
          <wp:positionH relativeFrom="column">
            <wp:posOffset>5512051</wp:posOffset>
          </wp:positionH>
          <wp:positionV relativeFrom="paragraph">
            <wp:posOffset>122924</wp:posOffset>
          </wp:positionV>
          <wp:extent cx="711835" cy="359410"/>
          <wp:effectExtent l="0" t="0" r="0" b="0"/>
          <wp:wrapNone/>
          <wp:docPr id="14134880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4768" cy="360891"/>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Volumen 2, Número 2.  Diciembre de 2023 </w:t>
    </w:r>
    <w:r w:rsidR="00000000">
      <w:rPr>
        <w:sz w:val="36"/>
        <w:szCs w:val="36"/>
      </w:rPr>
      <w:fldChar w:fldCharType="begin"/>
    </w:r>
    <w:r w:rsidR="00000000">
      <w:rPr>
        <w:sz w:val="36"/>
        <w:szCs w:val="36"/>
      </w:rPr>
      <w:instrText>PAGE</w:instrText>
    </w:r>
    <w:r w:rsidR="00000000">
      <w:rPr>
        <w:sz w:val="36"/>
        <w:szCs w:val="36"/>
      </w:rPr>
      <w:fldChar w:fldCharType="separate"/>
    </w:r>
    <w:r>
      <w:rPr>
        <w:noProof/>
        <w:sz w:val="36"/>
        <w:szCs w:val="36"/>
      </w:rPr>
      <w:t>65</w:t>
    </w:r>
    <w:r w:rsidR="00000000">
      <w:rPr>
        <w:sz w:val="36"/>
        <w:szCs w:val="36"/>
      </w:rPr>
      <w:fldChar w:fldCharType="end"/>
    </w:r>
    <w:r>
      <w:rPr>
        <w:sz w:val="36"/>
        <w:szCs w:val="3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8FD14" w14:textId="06B869B0" w:rsidR="007550EF" w:rsidRDefault="00F07D34">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4384" behindDoc="0" locked="0" layoutInCell="1" hidden="0" allowOverlap="1" wp14:anchorId="22E8D94B" wp14:editId="4E4784DD">
          <wp:simplePos x="0" y="0"/>
          <wp:positionH relativeFrom="column">
            <wp:posOffset>5731998</wp:posOffset>
          </wp:positionH>
          <wp:positionV relativeFrom="paragraph">
            <wp:posOffset>-635</wp:posOffset>
          </wp:positionV>
          <wp:extent cx="711835" cy="359410"/>
          <wp:effectExtent l="0" t="0" r="0" b="0"/>
          <wp:wrapNone/>
          <wp:docPr id="15327832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1835" cy="359410"/>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Volumen 2, Número 2.  Diciembre de 2023 </w:t>
    </w:r>
    <w:r w:rsidR="00000000">
      <w:rPr>
        <w:sz w:val="36"/>
        <w:szCs w:val="36"/>
      </w:rPr>
      <w:fldChar w:fldCharType="begin"/>
    </w:r>
    <w:r w:rsidR="00000000">
      <w:rPr>
        <w:sz w:val="36"/>
        <w:szCs w:val="36"/>
      </w:rPr>
      <w:instrText>PAGE</w:instrText>
    </w:r>
    <w:r w:rsidR="00000000">
      <w:rPr>
        <w:sz w:val="36"/>
        <w:szCs w:val="36"/>
      </w:rPr>
      <w:fldChar w:fldCharType="separate"/>
    </w:r>
    <w:r w:rsidR="00FD76E3">
      <w:rPr>
        <w:noProof/>
        <w:sz w:val="36"/>
        <w:szCs w:val="36"/>
      </w:rPr>
      <w:t>66</w:t>
    </w:r>
    <w:r w:rsidR="00000000">
      <w:rPr>
        <w:sz w:val="36"/>
        <w:szCs w:val="36"/>
      </w:rPr>
      <w:fldChar w:fldCharType="end"/>
    </w:r>
    <w:r>
      <w:rPr>
        <w:sz w:val="36"/>
        <w:szCs w:val="3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0B4F2" w14:textId="77777777" w:rsidR="0024127E" w:rsidRDefault="0024127E">
      <w:pPr>
        <w:spacing w:after="0" w:line="240" w:lineRule="auto"/>
      </w:pPr>
      <w:r>
        <w:separator/>
      </w:r>
    </w:p>
  </w:footnote>
  <w:footnote w:type="continuationSeparator" w:id="0">
    <w:p w14:paraId="008F2B16" w14:textId="77777777" w:rsidR="0024127E" w:rsidRDefault="00241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ED5F7" w14:textId="77777777" w:rsidR="007550EF"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0599BCAE" wp14:editId="75E80A38">
          <wp:simplePos x="0" y="0"/>
          <wp:positionH relativeFrom="column">
            <wp:posOffset>-813434</wp:posOffset>
          </wp:positionH>
          <wp:positionV relativeFrom="paragraph">
            <wp:posOffset>-297814</wp:posOffset>
          </wp:positionV>
          <wp:extent cx="2190750" cy="834643"/>
          <wp:effectExtent l="0" t="0" r="0" b="0"/>
          <wp:wrapNone/>
          <wp:docPr id="211874466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73067"/>
                  <a:stretch>
                    <a:fillRect/>
                  </a:stretch>
                </pic:blipFill>
                <pic:spPr>
                  <a:xfrm>
                    <a:off x="0" y="0"/>
                    <a:ext cx="2190750" cy="83464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6BD56" w14:textId="77777777" w:rsidR="007550EF" w:rsidRDefault="00000000">
    <w:pPr>
      <w:pBdr>
        <w:top w:val="nil"/>
        <w:left w:val="nil"/>
        <w:bottom w:val="nil"/>
        <w:right w:val="nil"/>
        <w:between w:val="nil"/>
      </w:pBdr>
      <w:tabs>
        <w:tab w:val="center" w:pos="4419"/>
        <w:tab w:val="right" w:pos="8838"/>
      </w:tabs>
      <w:spacing w:after="0" w:line="240" w:lineRule="auto"/>
      <w:rPr>
        <w:b/>
        <w:color w:val="222A35"/>
      </w:rPr>
    </w:pPr>
    <w:r>
      <w:rPr>
        <w:b/>
        <w:color w:val="222A35"/>
      </w:rPr>
      <w:t>¿POR QUÉ INVESTIGAR HOY EN LA ESCUELA?</w:t>
    </w:r>
    <w:r>
      <w:rPr>
        <w:noProof/>
      </w:rPr>
      <w:drawing>
        <wp:anchor distT="0" distB="0" distL="0" distR="0" simplePos="0" relativeHeight="251659264" behindDoc="1" locked="0" layoutInCell="1" hidden="0" allowOverlap="1" wp14:anchorId="61DCEA39" wp14:editId="73126B7D">
          <wp:simplePos x="0" y="0"/>
          <wp:positionH relativeFrom="column">
            <wp:posOffset>0</wp:posOffset>
          </wp:positionH>
          <wp:positionV relativeFrom="paragraph">
            <wp:posOffset>-1789739</wp:posOffset>
          </wp:positionV>
          <wp:extent cx="8048902" cy="11385448"/>
          <wp:effectExtent l="0" t="0" r="0" b="0"/>
          <wp:wrapNone/>
          <wp:docPr id="211874467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048902" cy="11385448"/>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24B291FF" wp14:editId="7197B994">
          <wp:simplePos x="0" y="0"/>
          <wp:positionH relativeFrom="column">
            <wp:posOffset>3636497</wp:posOffset>
          </wp:positionH>
          <wp:positionV relativeFrom="paragraph">
            <wp:posOffset>-320172</wp:posOffset>
          </wp:positionV>
          <wp:extent cx="2190750" cy="834643"/>
          <wp:effectExtent l="0" t="0" r="0" b="0"/>
          <wp:wrapNone/>
          <wp:docPr id="2118744670" name="image3.png"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3.png" descr="Texto&#10;&#10;Descripción generada automáticamente con confianza baja"/>
                  <pic:cNvPicPr preferRelativeResize="0"/>
                </pic:nvPicPr>
                <pic:blipFill>
                  <a:blip r:embed="rId2"/>
                  <a:srcRect b="73067"/>
                  <a:stretch>
                    <a:fillRect/>
                  </a:stretch>
                </pic:blipFill>
                <pic:spPr>
                  <a:xfrm>
                    <a:off x="0" y="0"/>
                    <a:ext cx="2190750" cy="83464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0EF"/>
    <w:rsid w:val="0024127E"/>
    <w:rsid w:val="00686A98"/>
    <w:rsid w:val="007550EF"/>
    <w:rsid w:val="00F07D34"/>
    <w:rsid w:val="00FD76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25FD2"/>
  <w15:docId w15:val="{5BC1F7F7-2110-BC45-9604-5A8036FB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CO"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0D"/>
  </w:style>
  <w:style w:type="paragraph" w:styleId="Ttulo1">
    <w:name w:val="heading 1"/>
    <w:basedOn w:val="Normal"/>
    <w:next w:val="Normal"/>
    <w:link w:val="Ttulo1Car"/>
    <w:uiPriority w:val="9"/>
    <w:qFormat/>
    <w:rsid w:val="00096DEF"/>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semiHidden/>
    <w:unhideWhenUsed/>
    <w:qFormat/>
    <w:rsid w:val="00402E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73A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notapie">
    <w:name w:val="footnote text"/>
    <w:basedOn w:val="Normal"/>
    <w:link w:val="TextonotapieCar"/>
    <w:unhideWhenUsed/>
    <w:qFormat/>
    <w:rsid w:val="008E0A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0A66"/>
    <w:rPr>
      <w:sz w:val="20"/>
      <w:szCs w:val="20"/>
    </w:rPr>
  </w:style>
  <w:style w:type="character" w:styleId="Refdenotaalpie">
    <w:name w:val="footnote reference"/>
    <w:basedOn w:val="Fuentedeprrafopredeter"/>
    <w:unhideWhenUsed/>
    <w:rsid w:val="008E0A66"/>
    <w:rPr>
      <w:vertAlign w:val="superscript"/>
    </w:rPr>
  </w:style>
  <w:style w:type="paragraph" w:styleId="Descripcin">
    <w:name w:val="caption"/>
    <w:basedOn w:val="Normal"/>
    <w:next w:val="Normal"/>
    <w:uiPriority w:val="35"/>
    <w:unhideWhenUsed/>
    <w:qFormat/>
    <w:rsid w:val="00660B91"/>
    <w:pPr>
      <w:spacing w:after="200" w:line="240" w:lineRule="auto"/>
    </w:pPr>
    <w:rPr>
      <w:b/>
      <w:bCs/>
      <w:color w:val="5B9BD5" w:themeColor="accent1"/>
      <w:sz w:val="18"/>
      <w:szCs w:val="18"/>
    </w:rPr>
  </w:style>
  <w:style w:type="table" w:styleId="Tablaconcuadrcula">
    <w:name w:val="Table Grid"/>
    <w:basedOn w:val="Tablanormal"/>
    <w:uiPriority w:val="39"/>
    <w:rsid w:val="00660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402EA8"/>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402EA8"/>
    <w:rPr>
      <w:color w:val="0563C1" w:themeColor="hyperlink"/>
      <w:u w:val="single"/>
    </w:rPr>
  </w:style>
  <w:style w:type="character" w:customStyle="1" w:styleId="Ttulo3Car">
    <w:name w:val="Título 3 Car"/>
    <w:basedOn w:val="Fuentedeprrafopredeter"/>
    <w:link w:val="Ttulo3"/>
    <w:uiPriority w:val="9"/>
    <w:rsid w:val="00873A7B"/>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873A7B"/>
    <w:pPr>
      <w:ind w:left="720"/>
      <w:contextualSpacing/>
    </w:pPr>
  </w:style>
  <w:style w:type="paragraph" w:styleId="Bibliografa">
    <w:name w:val="Bibliography"/>
    <w:basedOn w:val="Normal"/>
    <w:next w:val="Normal"/>
    <w:uiPriority w:val="37"/>
    <w:unhideWhenUsed/>
    <w:rsid w:val="00873A7B"/>
  </w:style>
  <w:style w:type="paragraph" w:styleId="Textocomentario">
    <w:name w:val="annotation text"/>
    <w:basedOn w:val="Normal"/>
    <w:link w:val="TextocomentarioCar"/>
    <w:uiPriority w:val="99"/>
    <w:semiHidden/>
    <w:unhideWhenUsed/>
    <w:rsid w:val="00CD3221"/>
    <w:pPr>
      <w:pBdr>
        <w:top w:val="nil"/>
        <w:left w:val="nil"/>
        <w:bottom w:val="nil"/>
        <w:right w:val="nil"/>
        <w:between w:val="nil"/>
      </w:pBdr>
      <w:spacing w:line="240" w:lineRule="auto"/>
    </w:pPr>
    <w:rPr>
      <w:color w:val="000000"/>
      <w:sz w:val="20"/>
      <w:szCs w:val="20"/>
      <w:lang w:eastAsia="es-ES"/>
    </w:rPr>
  </w:style>
  <w:style w:type="character" w:customStyle="1" w:styleId="TextocomentarioCar">
    <w:name w:val="Texto comentario Car"/>
    <w:basedOn w:val="Fuentedeprrafopredeter"/>
    <w:link w:val="Textocomentario"/>
    <w:uiPriority w:val="99"/>
    <w:semiHidden/>
    <w:rsid w:val="00CD3221"/>
    <w:rPr>
      <w:rFonts w:ascii="Calibri" w:eastAsia="Calibri" w:hAnsi="Calibri" w:cs="Calibri"/>
      <w:color w:val="000000"/>
      <w:sz w:val="20"/>
      <w:szCs w:val="20"/>
      <w:lang w:eastAsia="es-ES"/>
    </w:rPr>
  </w:style>
  <w:style w:type="character" w:styleId="Refdecomentario">
    <w:name w:val="annotation reference"/>
    <w:basedOn w:val="Fuentedeprrafopredeter"/>
    <w:uiPriority w:val="99"/>
    <w:semiHidden/>
    <w:unhideWhenUsed/>
    <w:rsid w:val="00CD3221"/>
    <w:rPr>
      <w:sz w:val="16"/>
      <w:szCs w:val="16"/>
    </w:rPr>
  </w:style>
  <w:style w:type="paragraph" w:styleId="Textodeglobo">
    <w:name w:val="Balloon Text"/>
    <w:basedOn w:val="Normal"/>
    <w:link w:val="TextodegloboCar"/>
    <w:uiPriority w:val="99"/>
    <w:semiHidden/>
    <w:unhideWhenUsed/>
    <w:rsid w:val="00CD32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3221"/>
    <w:rPr>
      <w:rFonts w:ascii="Segoe UI" w:hAnsi="Segoe UI" w:cs="Segoe UI"/>
      <w:sz w:val="18"/>
      <w:szCs w:val="18"/>
    </w:rPr>
  </w:style>
  <w:style w:type="paragraph" w:styleId="Sinespaciado">
    <w:name w:val="No Spacing"/>
    <w:uiPriority w:val="1"/>
    <w:qFormat/>
    <w:rsid w:val="00CD3221"/>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033847"/>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b/>
      <w:bCs/>
      <w:color w:val="auto"/>
      <w:lang w:eastAsia="en-US"/>
    </w:rPr>
  </w:style>
  <w:style w:type="character" w:customStyle="1" w:styleId="AsuntodelcomentarioCar">
    <w:name w:val="Asunto del comentario Car"/>
    <w:basedOn w:val="TextocomentarioCar"/>
    <w:link w:val="Asuntodelcomentario"/>
    <w:uiPriority w:val="99"/>
    <w:semiHidden/>
    <w:rsid w:val="00033847"/>
    <w:rPr>
      <w:rFonts w:ascii="Calibri" w:eastAsia="Calibri" w:hAnsi="Calibri" w:cs="Calibri"/>
      <w:b/>
      <w:bCs/>
      <w:color w:val="000000"/>
      <w:sz w:val="20"/>
      <w:szCs w:val="20"/>
      <w:lang w:eastAsia="es-ES"/>
    </w:rPr>
  </w:style>
  <w:style w:type="character" w:customStyle="1" w:styleId="Mencinsinresolver1">
    <w:name w:val="Mención sin resolver1"/>
    <w:basedOn w:val="Fuentedeprrafopredeter"/>
    <w:uiPriority w:val="99"/>
    <w:semiHidden/>
    <w:unhideWhenUsed/>
    <w:rsid w:val="002D6BAE"/>
    <w:rPr>
      <w:color w:val="605E5C"/>
      <w:shd w:val="clear" w:color="auto" w:fill="E1DFDD"/>
    </w:rPr>
  </w:style>
  <w:style w:type="character" w:customStyle="1" w:styleId="Ttulo1Car">
    <w:name w:val="Título 1 Car"/>
    <w:basedOn w:val="Fuentedeprrafopredeter"/>
    <w:link w:val="Ttulo1"/>
    <w:uiPriority w:val="9"/>
    <w:rsid w:val="00096DEF"/>
    <w:rPr>
      <w:rFonts w:asciiTheme="majorHAnsi" w:eastAsiaTheme="majorEastAsia" w:hAnsiTheme="majorHAnsi" w:cstheme="majorBidi"/>
      <w:color w:val="2E74B5" w:themeColor="accent1" w:themeShade="BF"/>
      <w:sz w:val="32"/>
      <w:szCs w:val="32"/>
      <w:lang w:val="es-ES" w:eastAsia="es-ES"/>
    </w:rPr>
  </w:style>
  <w:style w:type="paragraph" w:styleId="Encabezado">
    <w:name w:val="header"/>
    <w:basedOn w:val="Normal"/>
    <w:link w:val="EncabezadoCar"/>
    <w:uiPriority w:val="99"/>
    <w:unhideWhenUsed/>
    <w:rsid w:val="00890D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0D2C"/>
  </w:style>
  <w:style w:type="paragraph" w:styleId="Piedepgina">
    <w:name w:val="footer"/>
    <w:basedOn w:val="Normal"/>
    <w:link w:val="PiedepginaCar"/>
    <w:uiPriority w:val="99"/>
    <w:unhideWhenUsed/>
    <w:rsid w:val="00890D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0D2C"/>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cinsinresolver">
    <w:name w:val="Unresolved Mention"/>
    <w:basedOn w:val="Fuentedeprrafopredeter"/>
    <w:uiPriority w:val="99"/>
    <w:semiHidden/>
    <w:unhideWhenUsed/>
    <w:rsid w:val="00A703F2"/>
    <w:rPr>
      <w:color w:val="605E5C"/>
      <w:shd w:val="clear" w:color="auto" w:fill="E1DFDD"/>
    </w:rPr>
  </w:style>
  <w:style w:type="character" w:customStyle="1" w:styleId="Refdenotaalpie1">
    <w:name w:val="Ref. de nota al pie1"/>
    <w:basedOn w:val="Fuentedeprrafopredeter"/>
    <w:rsid w:val="00CD564C"/>
    <w:rPr>
      <w:vertAlign w:val="superscript"/>
    </w:rPr>
  </w:style>
  <w:style w:type="character" w:customStyle="1" w:styleId="Caracteresdenotaalpie">
    <w:name w:val="Caracteres de nota al pie"/>
    <w:rsid w:val="00CD564C"/>
  </w:style>
  <w:style w:type="paragraph" w:styleId="Textoindependiente">
    <w:name w:val="Body Text"/>
    <w:basedOn w:val="Normal"/>
    <w:link w:val="TextoindependienteCar"/>
    <w:rsid w:val="00CD564C"/>
    <w:pPr>
      <w:widowControl w:val="0"/>
      <w:suppressAutoHyphens/>
      <w:spacing w:after="120" w:line="240" w:lineRule="auto"/>
    </w:pPr>
    <w:rPr>
      <w:rFonts w:ascii="Times New Roman" w:eastAsia="SimSun" w:hAnsi="Times New Roman" w:cs="Lucida Sans"/>
      <w:kern w:val="1"/>
      <w:sz w:val="24"/>
      <w:szCs w:val="24"/>
      <w:lang w:val="es-EC" w:eastAsia="hi-IN" w:bidi="hi-IN"/>
    </w:rPr>
  </w:style>
  <w:style w:type="character" w:customStyle="1" w:styleId="TextoindependienteCar">
    <w:name w:val="Texto independiente Car"/>
    <w:basedOn w:val="Fuentedeprrafopredeter"/>
    <w:link w:val="Textoindependiente"/>
    <w:rsid w:val="00CD564C"/>
    <w:rPr>
      <w:rFonts w:ascii="Times New Roman" w:eastAsia="SimSun" w:hAnsi="Times New Roman" w:cs="Lucida Sans"/>
      <w:kern w:val="1"/>
      <w:sz w:val="24"/>
      <w:szCs w:val="24"/>
      <w:lang w:val="es-EC" w:eastAsia="hi-IN" w:bidi="hi-IN"/>
    </w:rPr>
  </w:style>
  <w:style w:type="paragraph" w:customStyle="1" w:styleId="Textonotapie1">
    <w:name w:val="Texto nota pie1"/>
    <w:basedOn w:val="Normal"/>
    <w:rsid w:val="00CD564C"/>
    <w:pPr>
      <w:widowControl w:val="0"/>
      <w:suppressAutoHyphens/>
      <w:spacing w:after="0" w:line="100" w:lineRule="atLeast"/>
    </w:pPr>
    <w:rPr>
      <w:rFonts w:ascii="Times New Roman" w:eastAsia="SimSun" w:hAnsi="Times New Roman" w:cs="Lucida Sans"/>
      <w:kern w:val="1"/>
      <w:sz w:val="20"/>
      <w:szCs w:val="20"/>
      <w:lang w:val="es-EC" w:eastAsia="hi-IN" w:bidi="hi-IN"/>
    </w:rPr>
  </w:style>
  <w:style w:type="paragraph" w:customStyle="1" w:styleId="Prrafodelista1">
    <w:name w:val="Párrafo de lista1"/>
    <w:basedOn w:val="Normal"/>
    <w:rsid w:val="00CD564C"/>
    <w:pPr>
      <w:widowControl w:val="0"/>
      <w:suppressAutoHyphens/>
      <w:spacing w:after="0" w:line="240" w:lineRule="auto"/>
      <w:ind w:left="720" w:firstLine="720"/>
    </w:pPr>
    <w:rPr>
      <w:rFonts w:ascii="Times New Roman" w:eastAsia="SimSun" w:hAnsi="Times New Roman" w:cs="Lucida Sans"/>
      <w:kern w:val="1"/>
      <w:sz w:val="24"/>
      <w:szCs w:val="24"/>
      <w:lang w:val="es-EC" w:eastAsia="hi-IN" w:bidi="hi-IN"/>
    </w:rPr>
  </w:style>
  <w:style w:type="paragraph" w:styleId="NormalWeb">
    <w:name w:val="Normal (Web)"/>
    <w:basedOn w:val="Normal"/>
    <w:uiPriority w:val="99"/>
    <w:unhideWhenUsed/>
    <w:rsid w:val="00FD75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ibTXFw+ee9BdEevZSDEfunygOw==">CgMxLjAyCWguMWZvYjl0ZTIJaC4zem55c2g3MghoLmdqZGd4czIJaC4zMGowemxsMgloLjJldDkycDAyCGgudHlqY3d0MgloLjNkeTZ2a20yCWguMnM4ZXlvMTIJaC4zZHk2dmttMgloLjNyZGNyam4yCWguMjZpbjFyZzIJaC4xdDNoNXNmMgloLjRkMzRvZzgyCWguMnM4ZXlvMTIJaC4xN2RwOHZ1MgloLjQ0c2luaW8yCWguM3JkY3JqbjIOaC43cnEwOGVrZm1xcGY4AHIhMVB4NEFDTUpnQlJmYVBxaEVtSUp3ci1xYTBZMG9xUX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7753</Words>
  <Characters>42645</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Natalia Caicedo Ortiz</dc:creator>
  <cp:lastModifiedBy>LEONARDO  AVENDANO RONDON</cp:lastModifiedBy>
  <cp:revision>2</cp:revision>
  <dcterms:created xsi:type="dcterms:W3CDTF">2024-11-20T16:22:00Z</dcterms:created>
  <dcterms:modified xsi:type="dcterms:W3CDTF">2024-11-20T16:22:00Z</dcterms:modified>
</cp:coreProperties>
</file>